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7E4A" w14:textId="77777777" w:rsidR="005B5A1B" w:rsidRDefault="005B5A1B" w:rsidP="005B5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lang w:eastAsia="fr-FR"/>
        </w:rPr>
      </w:pPr>
    </w:p>
    <w:p w14:paraId="00247E4B" w14:textId="77777777" w:rsidR="005B5A1B" w:rsidRDefault="0056142E" w:rsidP="005B5A1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806000" w:themeColor="accent4" w:themeShade="80"/>
          <w:shd w:val="clear" w:color="auto" w:fill="D9D9D9" w:themeFill="background1" w:themeFillShade="D9"/>
          <w:lang w:eastAsia="fr-FR"/>
        </w:rPr>
      </w:pPr>
      <w:r w:rsidRPr="0056142E">
        <w:rPr>
          <w:rFonts w:cs="Calibri"/>
          <w:b/>
          <w:bCs/>
          <w:color w:val="806000" w:themeColor="accent4" w:themeShade="80"/>
          <w:shd w:val="clear" w:color="auto" w:fill="D9D9D9" w:themeFill="background1" w:themeFillShade="D9"/>
          <w:lang w:eastAsia="fr-FR"/>
        </w:rPr>
        <w:t>COMMUNIQUÉ DE PRESSE</w:t>
      </w:r>
    </w:p>
    <w:p w14:paraId="2303964F" w14:textId="77777777" w:rsidR="00074E2C" w:rsidRPr="0056142E" w:rsidRDefault="00074E2C" w:rsidP="005B5A1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eastAsia="fr-FR"/>
        </w:rPr>
      </w:pPr>
    </w:p>
    <w:p w14:paraId="00247E4C" w14:textId="416C77CB" w:rsidR="005B5A1B" w:rsidRDefault="00074E2C" w:rsidP="005B5A1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2060"/>
          <w:sz w:val="28"/>
          <w:szCs w:val="28"/>
          <w:highlight w:val="white"/>
          <w:lang w:eastAsia="fr-FR"/>
        </w:rPr>
      </w:pPr>
      <w:r w:rsidRPr="00177B47">
        <w:rPr>
          <w:rFonts w:cs="Calibri"/>
          <w:b/>
          <w:bCs/>
          <w:sz w:val="28"/>
          <w:szCs w:val="28"/>
          <w:highlight w:val="white"/>
          <w:lang w:eastAsia="fr-FR"/>
        </w:rPr>
        <w:t xml:space="preserve">Marrakech abrite le roadshow sur l’agrégation agricole nouvelle génération </w:t>
      </w:r>
    </w:p>
    <w:p w14:paraId="00247E4D" w14:textId="77777777" w:rsidR="0091777E" w:rsidRPr="0091777E" w:rsidRDefault="0091777E" w:rsidP="005B5A1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2060"/>
          <w:sz w:val="8"/>
          <w:szCs w:val="8"/>
          <w:highlight w:val="white"/>
          <w:lang w:eastAsia="fr-FR"/>
        </w:rPr>
      </w:pPr>
    </w:p>
    <w:p w14:paraId="00247E4E" w14:textId="77777777" w:rsidR="005B5A1B" w:rsidRPr="0091777E" w:rsidRDefault="00325C53" w:rsidP="0091777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2060"/>
          <w:sz w:val="24"/>
          <w:szCs w:val="24"/>
          <w:highlight w:val="white"/>
          <w:lang w:eastAsia="fr-FR"/>
        </w:rPr>
      </w:pPr>
      <w:r w:rsidRPr="0091777E">
        <w:rPr>
          <w:rFonts w:cs="Calibri"/>
          <w:b/>
          <w:bCs/>
          <w:color w:val="002060"/>
          <w:sz w:val="24"/>
          <w:szCs w:val="24"/>
          <w:highlight w:val="white"/>
          <w:lang w:eastAsia="fr-FR"/>
        </w:rPr>
        <w:t>REGION MARRAKECH</w:t>
      </w:r>
      <w:r w:rsidR="0091777E" w:rsidRPr="0091777E">
        <w:rPr>
          <w:rFonts w:cs="Calibri"/>
          <w:b/>
          <w:bCs/>
          <w:color w:val="002060"/>
          <w:sz w:val="24"/>
          <w:szCs w:val="24"/>
          <w:highlight w:val="white"/>
          <w:lang w:eastAsia="fr-FR"/>
        </w:rPr>
        <w:t>-SAFI</w:t>
      </w:r>
    </w:p>
    <w:p w14:paraId="00247E4F" w14:textId="77777777" w:rsidR="005B5A1B" w:rsidRPr="00C256DC" w:rsidRDefault="005B5A1B" w:rsidP="0005359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2060"/>
          <w:sz w:val="28"/>
          <w:szCs w:val="28"/>
          <w:highlight w:val="white"/>
          <w:lang w:eastAsia="fr-FR"/>
        </w:rPr>
      </w:pPr>
      <w:r w:rsidRPr="0091777E">
        <w:rPr>
          <w:rFonts w:cs="Calibri"/>
          <w:b/>
          <w:bCs/>
          <w:color w:val="002060"/>
          <w:highlight w:val="white"/>
          <w:lang w:eastAsia="fr-FR"/>
        </w:rPr>
        <w:t>L</w:t>
      </w:r>
      <w:r w:rsidR="00C256DC" w:rsidRPr="0091777E">
        <w:rPr>
          <w:rFonts w:cs="Calibri"/>
          <w:b/>
          <w:bCs/>
          <w:color w:val="002060"/>
          <w:highlight w:val="white"/>
          <w:lang w:eastAsia="fr-FR"/>
        </w:rPr>
        <w:t>e</w:t>
      </w:r>
      <w:r w:rsidR="00053594">
        <w:rPr>
          <w:rFonts w:cs="Calibri"/>
          <w:b/>
          <w:bCs/>
          <w:color w:val="002060"/>
          <w:highlight w:val="white"/>
          <w:lang w:eastAsia="fr-FR"/>
        </w:rPr>
        <w:t xml:space="preserve"> 17 Novembre</w:t>
      </w:r>
      <w:r w:rsidR="00A92244" w:rsidRPr="00053594">
        <w:rPr>
          <w:rFonts w:cs="Calibri"/>
          <w:b/>
          <w:bCs/>
          <w:color w:val="002060"/>
          <w:highlight w:val="white"/>
          <w:lang w:eastAsia="fr-FR"/>
        </w:rPr>
        <w:t>2022</w:t>
      </w:r>
      <w:r w:rsidR="00A92244" w:rsidRPr="0091777E">
        <w:rPr>
          <w:rFonts w:cs="Calibri"/>
          <w:b/>
          <w:bCs/>
          <w:color w:val="002060"/>
          <w:highlight w:val="white"/>
          <w:lang w:eastAsia="fr-FR"/>
        </w:rPr>
        <w:t>,</w:t>
      </w:r>
      <w:r w:rsidR="00922E17">
        <w:rPr>
          <w:rFonts w:cs="Calibri"/>
          <w:b/>
          <w:bCs/>
          <w:color w:val="002060"/>
          <w:highlight w:val="white"/>
          <w:lang w:eastAsia="fr-FR"/>
        </w:rPr>
        <w:t xml:space="preserve"> </w:t>
      </w:r>
      <w:r w:rsidRPr="00053594">
        <w:rPr>
          <w:rFonts w:cs="Calibri"/>
          <w:b/>
          <w:bCs/>
          <w:color w:val="002060"/>
          <w:highlight w:val="white"/>
          <w:lang w:eastAsia="fr-FR"/>
        </w:rPr>
        <w:t>Au Siège de la Chambre d’Agriculture Marrakech-Safi</w:t>
      </w:r>
    </w:p>
    <w:p w14:paraId="00247E50" w14:textId="77777777" w:rsidR="005B5A1B" w:rsidRDefault="005B5A1B" w:rsidP="005B5A1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fr-FR"/>
        </w:rPr>
      </w:pPr>
    </w:p>
    <w:p w14:paraId="00247E51" w14:textId="77777777" w:rsidR="0091777E" w:rsidRPr="0091777E" w:rsidRDefault="0091777E" w:rsidP="002026F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Calibri"/>
          <w:sz w:val="18"/>
          <w:szCs w:val="18"/>
          <w:lang w:eastAsia="fr-FR"/>
        </w:rPr>
      </w:pPr>
    </w:p>
    <w:p w14:paraId="00247E52" w14:textId="77777777" w:rsidR="00B011E0" w:rsidRDefault="00F108F9" w:rsidP="006D7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  <w:r w:rsidRPr="008A6F9C">
        <w:rPr>
          <w:rFonts w:cs="Calibri"/>
          <w:sz w:val="28"/>
          <w:szCs w:val="28"/>
          <w:lang w:eastAsia="fr-FR"/>
        </w:rPr>
        <w:t xml:space="preserve">La ville de Marrakech a accueilli </w:t>
      </w:r>
      <w:r w:rsidR="00B011E0" w:rsidRPr="008A6F9C">
        <w:rPr>
          <w:rFonts w:cs="Calibri"/>
          <w:sz w:val="28"/>
          <w:szCs w:val="28"/>
          <w:lang w:eastAsia="fr-FR"/>
        </w:rPr>
        <w:t>le</w:t>
      </w:r>
      <w:r w:rsidR="00053594">
        <w:rPr>
          <w:rFonts w:cs="Calibri"/>
          <w:sz w:val="28"/>
          <w:szCs w:val="28"/>
          <w:lang w:eastAsia="fr-FR"/>
        </w:rPr>
        <w:t xml:space="preserve"> 17 novembre 2022</w:t>
      </w:r>
      <w:r w:rsidR="008F0329">
        <w:rPr>
          <w:rFonts w:cs="Calibri"/>
          <w:sz w:val="28"/>
          <w:szCs w:val="28"/>
          <w:lang w:eastAsia="fr-FR"/>
        </w:rPr>
        <w:t xml:space="preserve">, </w:t>
      </w:r>
      <w:r w:rsidRPr="008A6F9C">
        <w:rPr>
          <w:rFonts w:cs="Calibri"/>
          <w:sz w:val="28"/>
          <w:szCs w:val="28"/>
          <w:lang w:eastAsia="fr-FR"/>
        </w:rPr>
        <w:t xml:space="preserve">le </w:t>
      </w:r>
      <w:r w:rsidR="00053594">
        <w:rPr>
          <w:rFonts w:cs="Calibri"/>
          <w:sz w:val="28"/>
          <w:szCs w:val="28"/>
          <w:lang w:eastAsia="fr-FR"/>
        </w:rPr>
        <w:t>R</w:t>
      </w:r>
      <w:r w:rsidRPr="008A6F9C">
        <w:rPr>
          <w:rFonts w:cs="Calibri"/>
          <w:sz w:val="28"/>
          <w:szCs w:val="28"/>
          <w:lang w:eastAsia="fr-FR"/>
        </w:rPr>
        <w:t>oad</w:t>
      </w:r>
      <w:r w:rsidR="00E200ED">
        <w:rPr>
          <w:rFonts w:cs="Calibri"/>
          <w:sz w:val="28"/>
          <w:szCs w:val="28"/>
          <w:lang w:eastAsia="fr-FR"/>
        </w:rPr>
        <w:t>s</w:t>
      </w:r>
      <w:r w:rsidRPr="008A6F9C">
        <w:rPr>
          <w:rFonts w:cs="Calibri"/>
          <w:sz w:val="28"/>
          <w:szCs w:val="28"/>
          <w:lang w:eastAsia="fr-FR"/>
        </w:rPr>
        <w:t>how</w:t>
      </w:r>
      <w:r w:rsidR="00B011E0" w:rsidRPr="008A6F9C">
        <w:rPr>
          <w:rFonts w:cs="Calibri"/>
          <w:sz w:val="28"/>
          <w:szCs w:val="28"/>
          <w:lang w:eastAsia="fr-FR"/>
        </w:rPr>
        <w:t xml:space="preserve"> organisé par l’Agence pour le Développement agricole (ADA)</w:t>
      </w:r>
      <w:r w:rsidR="006F2997" w:rsidRPr="008A6F9C">
        <w:rPr>
          <w:rFonts w:cs="Calibri"/>
          <w:sz w:val="28"/>
          <w:szCs w:val="28"/>
          <w:lang w:eastAsia="fr-FR"/>
        </w:rPr>
        <w:t xml:space="preserve"> en étroite collaboration avec la Direction Régionale de l’Agriculture Marrakech-Safi</w:t>
      </w:r>
      <w:r w:rsidR="006D7270">
        <w:rPr>
          <w:rFonts w:cs="Calibri"/>
          <w:sz w:val="28"/>
          <w:szCs w:val="28"/>
          <w:lang w:eastAsia="fr-FR"/>
        </w:rPr>
        <w:t xml:space="preserve"> et la Chambre d’Agriculture Marrakech-Safi</w:t>
      </w:r>
      <w:r w:rsidR="006F2997" w:rsidRPr="008A6F9C">
        <w:rPr>
          <w:rFonts w:cs="Calibri"/>
          <w:sz w:val="28"/>
          <w:szCs w:val="28"/>
          <w:lang w:eastAsia="fr-FR"/>
        </w:rPr>
        <w:t>,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="004A4C6E" w:rsidRPr="008A6F9C">
        <w:rPr>
          <w:rFonts w:cs="Calibri"/>
          <w:sz w:val="28"/>
          <w:szCs w:val="28"/>
          <w:lang w:eastAsia="fr-FR"/>
        </w:rPr>
        <w:t>mettant en lumière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="006D7270">
        <w:rPr>
          <w:rFonts w:cs="Calibri"/>
          <w:sz w:val="28"/>
          <w:szCs w:val="28"/>
          <w:lang w:eastAsia="fr-FR"/>
        </w:rPr>
        <w:t>l’axe relatif à</w:t>
      </w:r>
      <w:r w:rsidR="00B011E0" w:rsidRPr="008A6F9C">
        <w:rPr>
          <w:rFonts w:cs="Calibri"/>
          <w:sz w:val="28"/>
          <w:szCs w:val="28"/>
          <w:lang w:eastAsia="fr-FR"/>
        </w:rPr>
        <w:t xml:space="preserve"> l’agrégation agricole « Nouvelle Génération »</w:t>
      </w:r>
      <w:r w:rsidR="0083274D" w:rsidRPr="008A6F9C">
        <w:rPr>
          <w:rFonts w:cs="Calibri"/>
          <w:sz w:val="28"/>
          <w:szCs w:val="28"/>
          <w:lang w:eastAsia="fr-FR"/>
        </w:rPr>
        <w:t xml:space="preserve"> comme modèle novateur d’organisation des agriculteurs autours d’acteurs privés ou d’organisations professionnelles</w:t>
      </w:r>
      <w:r w:rsidR="00B011E0" w:rsidRPr="008A6F9C">
        <w:rPr>
          <w:rFonts w:cs="Calibri"/>
          <w:sz w:val="28"/>
          <w:szCs w:val="28"/>
          <w:lang w:eastAsia="fr-FR"/>
        </w:rPr>
        <w:t>.</w:t>
      </w:r>
    </w:p>
    <w:p w14:paraId="00247E53" w14:textId="77777777" w:rsidR="007E57A3" w:rsidRDefault="007E57A3" w:rsidP="006D7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</w:p>
    <w:p w14:paraId="00247E54" w14:textId="77777777" w:rsidR="007E57A3" w:rsidRPr="008A6F9C" w:rsidRDefault="007E57A3" w:rsidP="007E5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  <w:r>
        <w:rPr>
          <w:rFonts w:cs="Calibri"/>
          <w:sz w:val="28"/>
          <w:szCs w:val="28"/>
          <w:lang w:eastAsia="fr-FR"/>
        </w:rPr>
        <w:t xml:space="preserve">Cet axe important rentre dans le cadre de la déclinaison régionale de la stratégie « Génération Green ». L’agrégation constitue, en fait, un modèle d’organisation des agriculteurs autour de projets intégrés amont-aval permettant le transfert de nouvelles technologies et l’atténuation des difficultés liées à la taille des exploitations, l’accès au foncier et aux circuits de commercialisation. </w:t>
      </w:r>
    </w:p>
    <w:p w14:paraId="00247E55" w14:textId="77777777" w:rsidR="00B011E0" w:rsidRPr="008A6F9C" w:rsidRDefault="00B011E0" w:rsidP="008134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</w:p>
    <w:p w14:paraId="00247E56" w14:textId="77777777" w:rsidR="006F2997" w:rsidRPr="008A6F9C" w:rsidRDefault="00B011E0" w:rsidP="00821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  <w:r w:rsidRPr="008A6F9C">
        <w:rPr>
          <w:rFonts w:cs="Calibri"/>
          <w:sz w:val="28"/>
          <w:szCs w:val="28"/>
          <w:lang w:eastAsia="fr-FR"/>
        </w:rPr>
        <w:t xml:space="preserve">Plus </w:t>
      </w:r>
      <w:r w:rsidRPr="00421323">
        <w:rPr>
          <w:rFonts w:cs="Calibri"/>
          <w:sz w:val="28"/>
          <w:szCs w:val="28"/>
          <w:lang w:eastAsia="fr-FR"/>
        </w:rPr>
        <w:t xml:space="preserve">de </w:t>
      </w:r>
      <w:r w:rsidR="00E200ED" w:rsidRPr="00421323">
        <w:rPr>
          <w:rFonts w:cs="Calibri"/>
          <w:sz w:val="28"/>
          <w:szCs w:val="28"/>
          <w:lang w:eastAsia="fr-FR"/>
        </w:rPr>
        <w:t>8</w:t>
      </w:r>
      <w:r w:rsidRPr="00421323">
        <w:rPr>
          <w:rFonts w:cs="Calibri"/>
          <w:sz w:val="28"/>
          <w:szCs w:val="28"/>
          <w:lang w:eastAsia="fr-FR"/>
        </w:rPr>
        <w:t xml:space="preserve">0 acteurs et professionnels </w:t>
      </w:r>
      <w:r w:rsidRPr="00053594">
        <w:rPr>
          <w:rFonts w:cs="Calibri"/>
          <w:sz w:val="28"/>
          <w:szCs w:val="28"/>
          <w:lang w:eastAsia="fr-FR"/>
        </w:rPr>
        <w:t xml:space="preserve">du secteur agricole se sont </w:t>
      </w:r>
      <w:r w:rsidR="00010832" w:rsidRPr="00053594">
        <w:rPr>
          <w:rFonts w:cs="Calibri"/>
          <w:sz w:val="28"/>
          <w:szCs w:val="28"/>
          <w:lang w:eastAsia="fr-FR"/>
        </w:rPr>
        <w:t>donné</w:t>
      </w:r>
      <w:r w:rsidR="00C00ADF">
        <w:rPr>
          <w:rFonts w:cs="Calibri"/>
          <w:sz w:val="28"/>
          <w:szCs w:val="28"/>
          <w:lang w:eastAsia="fr-FR"/>
        </w:rPr>
        <w:t>s</w:t>
      </w:r>
      <w:r w:rsidRPr="00053594">
        <w:rPr>
          <w:rFonts w:cs="Calibri"/>
          <w:sz w:val="28"/>
          <w:szCs w:val="28"/>
          <w:lang w:eastAsia="fr-FR"/>
        </w:rPr>
        <w:t xml:space="preserve"> rendez-vous</w:t>
      </w:r>
      <w:r w:rsidR="00010832" w:rsidRPr="00053594">
        <w:rPr>
          <w:rFonts w:cs="Calibri"/>
          <w:sz w:val="28"/>
          <w:szCs w:val="28"/>
          <w:lang w:eastAsia="fr-FR"/>
        </w:rPr>
        <w:t xml:space="preserve"> dans l</w:t>
      </w:r>
      <w:r w:rsidRPr="00053594">
        <w:rPr>
          <w:rFonts w:cs="Calibri"/>
          <w:sz w:val="28"/>
          <w:szCs w:val="28"/>
          <w:lang w:eastAsia="fr-FR"/>
        </w:rPr>
        <w:t>a chambre d’agriculture Marrakech-Safi</w:t>
      </w:r>
      <w:r w:rsidR="0083274D" w:rsidRPr="00053594">
        <w:rPr>
          <w:rFonts w:cs="Calibri"/>
          <w:sz w:val="28"/>
          <w:szCs w:val="28"/>
          <w:lang w:eastAsia="fr-FR"/>
        </w:rPr>
        <w:t>, afin</w:t>
      </w:r>
      <w:r w:rsidR="0083274D" w:rsidRPr="008A6F9C">
        <w:rPr>
          <w:rFonts w:cs="Calibri"/>
          <w:sz w:val="28"/>
          <w:szCs w:val="28"/>
          <w:lang w:eastAsia="fr-FR"/>
        </w:rPr>
        <w:t xml:space="preserve"> d’échanger </w:t>
      </w:r>
      <w:r w:rsidR="00421323">
        <w:rPr>
          <w:rFonts w:cs="Calibri"/>
          <w:sz w:val="28"/>
          <w:szCs w:val="28"/>
          <w:lang w:eastAsia="fr-FR"/>
        </w:rPr>
        <w:t>sur les acquis en matière d’agrégation</w:t>
      </w:r>
      <w:r w:rsidR="00821162">
        <w:rPr>
          <w:rFonts w:cs="Calibri"/>
          <w:sz w:val="28"/>
          <w:szCs w:val="28"/>
          <w:lang w:eastAsia="fr-FR"/>
        </w:rPr>
        <w:t xml:space="preserve"> et d’exprimer leurs attentes</w:t>
      </w:r>
      <w:r w:rsidR="00815A5E">
        <w:rPr>
          <w:rFonts w:cs="Calibri"/>
          <w:sz w:val="28"/>
          <w:szCs w:val="28"/>
          <w:lang w:eastAsia="fr-FR"/>
        </w:rPr>
        <w:t xml:space="preserve"> </w:t>
      </w:r>
      <w:r w:rsidR="0083274D" w:rsidRPr="008A6F9C">
        <w:rPr>
          <w:rFonts w:cs="Calibri"/>
          <w:sz w:val="28"/>
          <w:szCs w:val="28"/>
          <w:lang w:eastAsia="fr-FR"/>
        </w:rPr>
        <w:t xml:space="preserve">par rapport au </w:t>
      </w:r>
      <w:r w:rsidR="00325C53" w:rsidRPr="008A6F9C">
        <w:rPr>
          <w:rFonts w:cs="Calibri"/>
          <w:sz w:val="28"/>
          <w:szCs w:val="28"/>
          <w:lang w:eastAsia="fr-FR"/>
        </w:rPr>
        <w:t>processus de</w:t>
      </w:r>
      <w:r w:rsidR="0083274D" w:rsidRPr="008A6F9C">
        <w:rPr>
          <w:rFonts w:cs="Calibri"/>
          <w:sz w:val="28"/>
          <w:szCs w:val="28"/>
          <w:lang w:eastAsia="fr-FR"/>
        </w:rPr>
        <w:t xml:space="preserve"> concrétisation des projets d’agrégation « Nouvelle Génération »</w:t>
      </w:r>
      <w:r w:rsidR="004A4C6E" w:rsidRPr="008A6F9C">
        <w:rPr>
          <w:rFonts w:cs="Calibri"/>
          <w:sz w:val="28"/>
          <w:szCs w:val="28"/>
          <w:lang w:eastAsia="fr-FR"/>
        </w:rPr>
        <w:t>.</w:t>
      </w:r>
    </w:p>
    <w:p w14:paraId="00247E57" w14:textId="77777777" w:rsidR="0055241F" w:rsidRPr="008A6F9C" w:rsidRDefault="0055241F" w:rsidP="008134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</w:p>
    <w:p w14:paraId="00247E58" w14:textId="77777777" w:rsidR="00626AE9" w:rsidRPr="008A6F9C" w:rsidRDefault="00F33573" w:rsidP="005557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  <w:r w:rsidRPr="008A6F9C">
        <w:rPr>
          <w:rFonts w:cs="Calibri"/>
          <w:sz w:val="28"/>
          <w:szCs w:val="28"/>
          <w:lang w:eastAsia="fr-FR"/>
        </w:rPr>
        <w:t>Cet</w:t>
      </w:r>
      <w:r w:rsidR="00555778">
        <w:rPr>
          <w:rFonts w:cs="Calibri"/>
          <w:sz w:val="28"/>
          <w:szCs w:val="28"/>
          <w:lang w:eastAsia="fr-FR"/>
        </w:rPr>
        <w:t>te rencontre</w:t>
      </w:r>
      <w:r w:rsidRPr="008A6F9C">
        <w:rPr>
          <w:rFonts w:cs="Calibri"/>
          <w:sz w:val="28"/>
          <w:szCs w:val="28"/>
          <w:lang w:eastAsia="fr-FR"/>
        </w:rPr>
        <w:t xml:space="preserve"> offre une occasion</w:t>
      </w:r>
      <w:r w:rsidR="0096608D" w:rsidRPr="008A6F9C">
        <w:rPr>
          <w:rFonts w:cs="Calibri"/>
          <w:sz w:val="28"/>
          <w:szCs w:val="28"/>
          <w:lang w:eastAsia="fr-FR"/>
        </w:rPr>
        <w:t xml:space="preserve"> unique</w:t>
      </w:r>
      <w:r w:rsidRPr="008A6F9C">
        <w:rPr>
          <w:rFonts w:cs="Calibri"/>
          <w:sz w:val="28"/>
          <w:szCs w:val="28"/>
          <w:lang w:eastAsia="fr-FR"/>
        </w:rPr>
        <w:t xml:space="preserve"> de faire le point sur l’état des lieux de l’agrégation agricole et de présenter le nouveau dispositif réglementaire mis en place grâce aux deux nouveaux arrêtés d’application de la loi 04-12 sur l’agrégation agricole.</w:t>
      </w:r>
      <w:r w:rsidR="00626AE9" w:rsidRPr="008A6F9C">
        <w:rPr>
          <w:rFonts w:cs="Calibri"/>
          <w:sz w:val="28"/>
          <w:szCs w:val="28"/>
          <w:lang w:eastAsia="fr-FR"/>
        </w:rPr>
        <w:t xml:space="preserve"> Arrêtés </w:t>
      </w:r>
      <w:r w:rsidR="0096608D" w:rsidRPr="008A6F9C">
        <w:rPr>
          <w:rFonts w:cs="Calibri"/>
          <w:sz w:val="28"/>
          <w:szCs w:val="28"/>
          <w:lang w:eastAsia="fr-FR"/>
        </w:rPr>
        <w:t>visa</w:t>
      </w:r>
      <w:r w:rsidR="00626AE9" w:rsidRPr="008A6F9C">
        <w:rPr>
          <w:rFonts w:cs="Calibri"/>
          <w:sz w:val="28"/>
          <w:szCs w:val="28"/>
          <w:lang w:eastAsia="fr-FR"/>
        </w:rPr>
        <w:t>nt non seulement</w:t>
      </w:r>
      <w:r w:rsidR="0096608D" w:rsidRPr="008A6F9C">
        <w:rPr>
          <w:rFonts w:cs="Calibri"/>
          <w:sz w:val="28"/>
          <w:szCs w:val="28"/>
          <w:lang w:eastAsia="fr-FR"/>
        </w:rPr>
        <w:t xml:space="preserve"> la</w:t>
      </w:r>
      <w:r w:rsidR="00626AE9" w:rsidRPr="008A6F9C">
        <w:rPr>
          <w:rFonts w:cs="Calibri"/>
          <w:sz w:val="28"/>
          <w:szCs w:val="28"/>
          <w:lang w:eastAsia="fr-FR"/>
        </w:rPr>
        <w:t xml:space="preserve"> simplification et </w:t>
      </w:r>
      <w:r w:rsidR="00555778">
        <w:rPr>
          <w:rFonts w:cs="Calibri"/>
          <w:sz w:val="28"/>
          <w:szCs w:val="28"/>
          <w:lang w:eastAsia="fr-FR"/>
        </w:rPr>
        <w:t>l’</w:t>
      </w:r>
      <w:r w:rsidR="00626AE9" w:rsidRPr="008A6F9C">
        <w:rPr>
          <w:rFonts w:cs="Calibri"/>
          <w:sz w:val="28"/>
          <w:szCs w:val="28"/>
          <w:lang w:eastAsia="fr-FR"/>
        </w:rPr>
        <w:t>assouplissement des procédures mais également la révision des normes d’éligibilité, l’</w:t>
      </w:r>
      <w:r w:rsidR="007B22EA" w:rsidRPr="008A6F9C">
        <w:rPr>
          <w:rFonts w:cs="Calibri"/>
          <w:sz w:val="28"/>
          <w:szCs w:val="28"/>
          <w:lang w:eastAsia="fr-FR"/>
        </w:rPr>
        <w:t>intégration</w:t>
      </w:r>
      <w:r w:rsidR="00626AE9" w:rsidRPr="008A6F9C">
        <w:rPr>
          <w:rFonts w:cs="Calibri"/>
          <w:sz w:val="28"/>
          <w:szCs w:val="28"/>
          <w:lang w:eastAsia="fr-FR"/>
        </w:rPr>
        <w:t xml:space="preserve"> de nouveaux modèles d’agrégation et de nouvelles filières et la mise en place d’un taux préférentiel pour les subventions octroyées </w:t>
      </w:r>
      <w:r w:rsidR="003135C4">
        <w:rPr>
          <w:rFonts w:cs="Calibri"/>
          <w:sz w:val="28"/>
          <w:szCs w:val="28"/>
          <w:lang w:eastAsia="fr-FR"/>
        </w:rPr>
        <w:t xml:space="preserve">au </w:t>
      </w:r>
      <w:r w:rsidR="00626AE9" w:rsidRPr="008A6F9C">
        <w:rPr>
          <w:rFonts w:cs="Calibri"/>
          <w:sz w:val="28"/>
          <w:szCs w:val="28"/>
          <w:lang w:eastAsia="fr-FR"/>
        </w:rPr>
        <w:t>matériel d’élevage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="003135C4" w:rsidRPr="008A6F9C">
        <w:rPr>
          <w:rFonts w:cs="Calibri"/>
          <w:sz w:val="28"/>
          <w:szCs w:val="28"/>
          <w:lang w:eastAsia="fr-FR"/>
        </w:rPr>
        <w:t xml:space="preserve">au </w:t>
      </w:r>
      <w:r w:rsidR="003135C4">
        <w:rPr>
          <w:rFonts w:cs="Calibri"/>
          <w:sz w:val="28"/>
          <w:szCs w:val="28"/>
          <w:lang w:eastAsia="fr-FR"/>
        </w:rPr>
        <w:t xml:space="preserve">même titre que pour </w:t>
      </w:r>
      <w:r w:rsidR="004A0D3C">
        <w:rPr>
          <w:rFonts w:cs="Calibri"/>
          <w:sz w:val="28"/>
          <w:szCs w:val="28"/>
          <w:lang w:eastAsia="fr-FR"/>
        </w:rPr>
        <w:t>l’aménagement hydro-agricole</w:t>
      </w:r>
      <w:r w:rsidR="00555778">
        <w:rPr>
          <w:rFonts w:cs="Calibri"/>
          <w:sz w:val="28"/>
          <w:szCs w:val="28"/>
          <w:lang w:eastAsia="fr-FR"/>
        </w:rPr>
        <w:t xml:space="preserve"> et le matériel agricole</w:t>
      </w:r>
      <w:r w:rsidR="00626AE9" w:rsidRPr="008A6F9C">
        <w:rPr>
          <w:rFonts w:cs="Calibri"/>
          <w:sz w:val="28"/>
          <w:szCs w:val="28"/>
          <w:lang w:eastAsia="fr-FR"/>
        </w:rPr>
        <w:t>.</w:t>
      </w:r>
    </w:p>
    <w:p w14:paraId="00247E59" w14:textId="77777777" w:rsidR="004A4C6E" w:rsidRPr="008A6F9C" w:rsidRDefault="004A4C6E" w:rsidP="008134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</w:p>
    <w:p w14:paraId="00247E5A" w14:textId="77777777" w:rsidR="005E1CEA" w:rsidRDefault="00130013" w:rsidP="00AB5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  <w:r>
        <w:rPr>
          <w:rFonts w:cs="Calibri"/>
          <w:sz w:val="28"/>
          <w:szCs w:val="28"/>
          <w:lang w:eastAsia="fr-FR"/>
        </w:rPr>
        <w:t xml:space="preserve">Vu l’importance majeur </w:t>
      </w:r>
      <w:r w:rsidR="00944BF1">
        <w:rPr>
          <w:rFonts w:cs="Calibri"/>
          <w:sz w:val="28"/>
          <w:szCs w:val="28"/>
          <w:lang w:eastAsia="fr-FR"/>
        </w:rPr>
        <w:t>que revêt la mise en œuvre d’une</w:t>
      </w:r>
      <w:r w:rsidR="00815A5E">
        <w:rPr>
          <w:rFonts w:cs="Calibri"/>
          <w:sz w:val="28"/>
          <w:szCs w:val="28"/>
          <w:lang w:eastAsia="fr-FR"/>
        </w:rPr>
        <w:t xml:space="preserve"> </w:t>
      </w:r>
      <w:r w:rsidR="00944BF1">
        <w:rPr>
          <w:rFonts w:cs="Calibri"/>
          <w:sz w:val="28"/>
          <w:szCs w:val="28"/>
          <w:lang w:eastAsia="fr-FR"/>
        </w:rPr>
        <w:t>organisation professionnelle</w:t>
      </w:r>
      <w:r w:rsidR="00303B52">
        <w:rPr>
          <w:rFonts w:cs="Calibri"/>
          <w:sz w:val="28"/>
          <w:szCs w:val="28"/>
          <w:lang w:eastAsia="fr-FR"/>
        </w:rPr>
        <w:t xml:space="preserve"> performante</w:t>
      </w:r>
      <w:r w:rsidR="00815A5E">
        <w:rPr>
          <w:rFonts w:cs="Calibri"/>
          <w:sz w:val="28"/>
          <w:szCs w:val="28"/>
          <w:lang w:eastAsia="fr-FR"/>
        </w:rPr>
        <w:t xml:space="preserve"> </w:t>
      </w:r>
      <w:r w:rsidR="00944BF1" w:rsidRPr="00A97303">
        <w:rPr>
          <w:rFonts w:cs="Calibri"/>
          <w:sz w:val="28"/>
          <w:szCs w:val="28"/>
          <w:lang w:eastAsia="fr-FR"/>
        </w:rPr>
        <w:t>du secteur agricole</w:t>
      </w:r>
      <w:r w:rsidR="0096608D" w:rsidRPr="00A97303">
        <w:rPr>
          <w:rFonts w:cs="Calibri"/>
          <w:sz w:val="28"/>
          <w:szCs w:val="28"/>
          <w:lang w:eastAsia="fr-FR"/>
        </w:rPr>
        <w:t>, La région Marrakech-Safi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="006F2997" w:rsidRPr="00A97303">
        <w:rPr>
          <w:rFonts w:cs="Calibri"/>
          <w:sz w:val="28"/>
          <w:szCs w:val="28"/>
          <w:lang w:eastAsia="fr-FR"/>
        </w:rPr>
        <w:t>s’est inscrite activement dans ce</w:t>
      </w:r>
      <w:r w:rsidR="00240CFA" w:rsidRPr="00A97303">
        <w:rPr>
          <w:rFonts w:cs="Calibri"/>
          <w:sz w:val="28"/>
          <w:szCs w:val="28"/>
          <w:lang w:eastAsia="fr-FR"/>
        </w:rPr>
        <w:t>tte dynamique</w:t>
      </w:r>
      <w:r w:rsidR="00D8596F" w:rsidRPr="00A97303">
        <w:rPr>
          <w:rFonts w:cs="Calibri"/>
          <w:sz w:val="28"/>
          <w:szCs w:val="28"/>
          <w:lang w:eastAsia="fr-FR"/>
        </w:rPr>
        <w:t xml:space="preserve"> à travers la concrétisation</w:t>
      </w:r>
      <w:r w:rsidR="00240CFA" w:rsidRPr="00A97303">
        <w:rPr>
          <w:rFonts w:cs="Calibri"/>
          <w:sz w:val="28"/>
          <w:szCs w:val="28"/>
          <w:lang w:eastAsia="fr-FR"/>
        </w:rPr>
        <w:t xml:space="preserve">, à ce jour, </w:t>
      </w:r>
      <w:r w:rsidR="00D8596F" w:rsidRPr="00A97303">
        <w:rPr>
          <w:rFonts w:cs="Calibri"/>
          <w:sz w:val="28"/>
          <w:szCs w:val="28"/>
          <w:lang w:eastAsia="fr-FR"/>
        </w:rPr>
        <w:t>de 5 projets d’agrégation</w:t>
      </w:r>
      <w:r w:rsidR="00240CFA" w:rsidRPr="00A97303">
        <w:rPr>
          <w:rFonts w:cs="Calibri"/>
          <w:sz w:val="28"/>
          <w:szCs w:val="28"/>
          <w:lang w:eastAsia="fr-FR"/>
        </w:rPr>
        <w:t>, en plus d’un portefeuille consistant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="00A27077" w:rsidRPr="00A97303">
        <w:rPr>
          <w:rFonts w:cs="Calibri"/>
          <w:sz w:val="28"/>
          <w:szCs w:val="28"/>
          <w:lang w:eastAsia="fr-FR"/>
        </w:rPr>
        <w:t>portant sur un</w:t>
      </w:r>
      <w:r w:rsidR="00A97303" w:rsidRPr="00A97303">
        <w:rPr>
          <w:rFonts w:cs="Calibri"/>
          <w:sz w:val="28"/>
          <w:szCs w:val="28"/>
          <w:lang w:eastAsia="fr-FR"/>
        </w:rPr>
        <w:t xml:space="preserve"> total</w:t>
      </w:r>
      <w:r w:rsidR="00A27077" w:rsidRPr="00A97303">
        <w:rPr>
          <w:rFonts w:cs="Calibri"/>
          <w:sz w:val="28"/>
          <w:szCs w:val="28"/>
          <w:lang w:eastAsia="fr-FR"/>
        </w:rPr>
        <w:t xml:space="preserve"> de </w:t>
      </w:r>
      <w:r w:rsidR="00A27077" w:rsidRPr="00A97303">
        <w:rPr>
          <w:rFonts w:cs="Calibri"/>
          <w:sz w:val="28"/>
          <w:szCs w:val="28"/>
          <w:lang w:eastAsia="fr-FR"/>
        </w:rPr>
        <w:lastRenderedPageBreak/>
        <w:t>2</w:t>
      </w:r>
      <w:r w:rsidR="00E353BD" w:rsidRPr="00A97303">
        <w:rPr>
          <w:rFonts w:cs="Calibri"/>
          <w:sz w:val="28"/>
          <w:szCs w:val="28"/>
          <w:lang w:eastAsia="fr-FR"/>
        </w:rPr>
        <w:t>4</w:t>
      </w:r>
      <w:r w:rsidR="00A27077" w:rsidRPr="00A97303">
        <w:rPr>
          <w:rFonts w:cs="Calibri"/>
          <w:sz w:val="28"/>
          <w:szCs w:val="28"/>
          <w:lang w:eastAsia="fr-FR"/>
        </w:rPr>
        <w:t xml:space="preserve"> projets d’agrégation </w:t>
      </w:r>
      <w:r w:rsidR="00A97303" w:rsidRPr="00A97303">
        <w:rPr>
          <w:rFonts w:cs="Calibri"/>
          <w:sz w:val="28"/>
          <w:szCs w:val="28"/>
          <w:lang w:eastAsia="fr-FR"/>
        </w:rPr>
        <w:t xml:space="preserve">« Nouvelle Génération » pour </w:t>
      </w:r>
      <w:r w:rsidR="00AB50B7">
        <w:rPr>
          <w:rFonts w:cs="Calibri"/>
          <w:sz w:val="28"/>
          <w:szCs w:val="28"/>
          <w:lang w:eastAsia="fr-FR"/>
        </w:rPr>
        <w:t xml:space="preserve">objectif d’agréger </w:t>
      </w:r>
      <w:r w:rsidR="00A97303" w:rsidRPr="00A97303">
        <w:rPr>
          <w:rFonts w:cs="Calibri"/>
          <w:sz w:val="28"/>
          <w:szCs w:val="28"/>
          <w:lang w:eastAsia="fr-FR"/>
        </w:rPr>
        <w:t xml:space="preserve">environ 1500 agriculteurs sur une superficie de 8500 ha. Ces projets </w:t>
      </w:r>
      <w:r w:rsidR="00A97303">
        <w:rPr>
          <w:rFonts w:cs="Calibri"/>
          <w:sz w:val="28"/>
          <w:szCs w:val="28"/>
          <w:lang w:eastAsia="fr-FR"/>
        </w:rPr>
        <w:t>touchent principalement les filières de l’Olivier, Câprier, Agrumes, Agriculture Bio, Lait, Arboriculture fruitière, PAM, Arganier et Maraîchage.</w:t>
      </w:r>
    </w:p>
    <w:p w14:paraId="00247E5B" w14:textId="77777777" w:rsidR="006F2997" w:rsidRPr="008A6F9C" w:rsidRDefault="006F2997" w:rsidP="008134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</w:p>
    <w:p w14:paraId="00247E5C" w14:textId="77777777" w:rsidR="00107082" w:rsidRDefault="00F33573" w:rsidP="00A57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  <w:r w:rsidRPr="008A6F9C">
        <w:rPr>
          <w:rFonts w:cs="Calibri"/>
          <w:sz w:val="28"/>
          <w:szCs w:val="28"/>
          <w:lang w:eastAsia="fr-FR"/>
        </w:rPr>
        <w:t>S’inscrivant dans le cadre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Pr="008A6F9C">
        <w:rPr>
          <w:rFonts w:cs="Calibri"/>
          <w:sz w:val="28"/>
          <w:szCs w:val="28"/>
          <w:lang w:eastAsia="fr-FR"/>
        </w:rPr>
        <w:t>du premier fondement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="00210E2B" w:rsidRPr="008A6F9C">
        <w:rPr>
          <w:rFonts w:cs="Calibri"/>
          <w:sz w:val="28"/>
          <w:szCs w:val="28"/>
          <w:lang w:eastAsia="fr-FR"/>
        </w:rPr>
        <w:t>de la stratégie « Génération Green 2020-2030 »</w:t>
      </w:r>
      <w:r w:rsidR="005C2813">
        <w:rPr>
          <w:rFonts w:cs="Calibri"/>
          <w:sz w:val="28"/>
          <w:szCs w:val="28"/>
          <w:lang w:eastAsia="fr-FR"/>
        </w:rPr>
        <w:t xml:space="preserve"> </w:t>
      </w:r>
      <w:r w:rsidR="00B609D0">
        <w:rPr>
          <w:rFonts w:cs="Calibri"/>
          <w:sz w:val="28"/>
          <w:szCs w:val="28"/>
          <w:lang w:eastAsia="fr-FR"/>
        </w:rPr>
        <w:t>accordant la priorité à l’élément humain</w:t>
      </w:r>
      <w:r w:rsidR="0047733B">
        <w:rPr>
          <w:rFonts w:cs="Calibri"/>
          <w:sz w:val="28"/>
          <w:szCs w:val="28"/>
          <w:lang w:eastAsia="fr-FR"/>
        </w:rPr>
        <w:t xml:space="preserve">, </w:t>
      </w:r>
      <w:r w:rsidR="00B609D0">
        <w:rPr>
          <w:rFonts w:cs="Calibri"/>
          <w:sz w:val="28"/>
          <w:szCs w:val="28"/>
          <w:lang w:eastAsia="fr-FR"/>
        </w:rPr>
        <w:t xml:space="preserve">ces </w:t>
      </w:r>
      <w:r w:rsidR="002026FB" w:rsidRPr="008A6F9C">
        <w:rPr>
          <w:rFonts w:cs="Calibri"/>
          <w:sz w:val="28"/>
          <w:szCs w:val="28"/>
          <w:lang w:eastAsia="fr-FR"/>
        </w:rPr>
        <w:t>projets d’agrégation agricole</w:t>
      </w:r>
      <w:r w:rsidR="00210E2B">
        <w:rPr>
          <w:rFonts w:cs="Calibri"/>
          <w:sz w:val="28"/>
          <w:szCs w:val="28"/>
          <w:lang w:eastAsia="fr-FR"/>
        </w:rPr>
        <w:t xml:space="preserve"> « Nouvelle Génération »</w:t>
      </w:r>
      <w:r w:rsidR="002026FB" w:rsidRPr="008A6F9C">
        <w:rPr>
          <w:rFonts w:cs="Calibri"/>
          <w:sz w:val="28"/>
          <w:szCs w:val="28"/>
          <w:lang w:eastAsia="fr-FR"/>
        </w:rPr>
        <w:t xml:space="preserve"> joueront indéniablement </w:t>
      </w:r>
      <w:r w:rsidR="00210E2B">
        <w:rPr>
          <w:rFonts w:cs="Calibri"/>
          <w:sz w:val="28"/>
          <w:szCs w:val="28"/>
          <w:lang w:eastAsia="fr-FR"/>
        </w:rPr>
        <w:t xml:space="preserve">un </w:t>
      </w:r>
      <w:r w:rsidR="002026FB" w:rsidRPr="008A6F9C">
        <w:rPr>
          <w:rFonts w:cs="Calibri"/>
          <w:sz w:val="28"/>
          <w:szCs w:val="28"/>
          <w:lang w:eastAsia="fr-FR"/>
        </w:rPr>
        <w:t xml:space="preserve">rôle </w:t>
      </w:r>
      <w:r w:rsidR="00210E2B">
        <w:rPr>
          <w:rFonts w:cs="Calibri"/>
          <w:sz w:val="28"/>
          <w:szCs w:val="28"/>
          <w:lang w:eastAsia="fr-FR"/>
        </w:rPr>
        <w:t>majeur en termes de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="00210E2B">
        <w:rPr>
          <w:rFonts w:cs="Calibri"/>
          <w:sz w:val="28"/>
          <w:szCs w:val="28"/>
          <w:lang w:eastAsia="fr-FR"/>
        </w:rPr>
        <w:t>transfert</w:t>
      </w:r>
      <w:r w:rsidR="002026FB" w:rsidRPr="008A6F9C">
        <w:rPr>
          <w:rFonts w:cs="Calibri"/>
          <w:sz w:val="28"/>
          <w:szCs w:val="28"/>
          <w:lang w:eastAsia="fr-FR"/>
        </w:rPr>
        <w:t xml:space="preserve"> des nouvelles technologies notamment aux petits et moyens agriculteurs</w:t>
      </w:r>
      <w:r w:rsidR="00B609D0">
        <w:rPr>
          <w:rFonts w:cs="Calibri"/>
          <w:sz w:val="28"/>
          <w:szCs w:val="28"/>
          <w:lang w:eastAsia="fr-FR"/>
        </w:rPr>
        <w:t>,</w:t>
      </w:r>
      <w:r w:rsidR="00922E17">
        <w:rPr>
          <w:rFonts w:cs="Calibri"/>
          <w:sz w:val="28"/>
          <w:szCs w:val="28"/>
          <w:lang w:eastAsia="fr-FR"/>
        </w:rPr>
        <w:t xml:space="preserve"> </w:t>
      </w:r>
      <w:r w:rsidR="008C785D">
        <w:rPr>
          <w:rFonts w:cs="Calibri"/>
          <w:sz w:val="28"/>
          <w:szCs w:val="28"/>
          <w:lang w:eastAsia="fr-FR"/>
        </w:rPr>
        <w:t>dans le cadre d’un partenariat « gagnant-gagnant » entre l’amont productif et l’aval commercial</w:t>
      </w:r>
      <w:r w:rsidR="008C785D" w:rsidRPr="008A6F9C">
        <w:rPr>
          <w:rFonts w:cs="Calibri"/>
          <w:sz w:val="28"/>
          <w:szCs w:val="28"/>
          <w:lang w:eastAsia="fr-FR"/>
        </w:rPr>
        <w:t>.</w:t>
      </w:r>
    </w:p>
    <w:p w14:paraId="00247E5D" w14:textId="77777777" w:rsidR="00A5754D" w:rsidRDefault="00A5754D" w:rsidP="00A57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</w:p>
    <w:p w14:paraId="00247E5E" w14:textId="77777777" w:rsidR="00B609D0" w:rsidRPr="008C785D" w:rsidRDefault="00A5754D" w:rsidP="00AB5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  <w:r>
        <w:rPr>
          <w:rFonts w:cs="Calibri"/>
          <w:sz w:val="28"/>
          <w:szCs w:val="28"/>
          <w:lang w:eastAsia="fr-FR"/>
        </w:rPr>
        <w:t xml:space="preserve">Ainsi, les </w:t>
      </w:r>
      <w:r w:rsidR="008C785D">
        <w:rPr>
          <w:rFonts w:cs="Calibri"/>
          <w:sz w:val="28"/>
          <w:szCs w:val="28"/>
          <w:lang w:eastAsia="fr-FR"/>
        </w:rPr>
        <w:t>agrégés</w:t>
      </w:r>
      <w:r w:rsidR="00815A5E">
        <w:rPr>
          <w:rFonts w:cs="Calibri"/>
          <w:sz w:val="28"/>
          <w:szCs w:val="28"/>
          <w:lang w:eastAsia="fr-FR"/>
        </w:rPr>
        <w:t xml:space="preserve"> </w:t>
      </w:r>
      <w:r w:rsidR="00B609D0" w:rsidRPr="00BD426E">
        <w:rPr>
          <w:rFonts w:cs="Calibri"/>
          <w:sz w:val="28"/>
          <w:szCs w:val="28"/>
          <w:lang w:eastAsia="fr-FR"/>
        </w:rPr>
        <w:t>tire</w:t>
      </w:r>
      <w:r>
        <w:rPr>
          <w:rFonts w:cs="Calibri"/>
          <w:sz w:val="28"/>
          <w:szCs w:val="28"/>
          <w:lang w:eastAsia="fr-FR"/>
        </w:rPr>
        <w:t>nt</w:t>
      </w:r>
      <w:r w:rsidR="00B609D0" w:rsidRPr="00BD426E">
        <w:rPr>
          <w:rFonts w:cs="Calibri"/>
          <w:sz w:val="28"/>
          <w:szCs w:val="28"/>
          <w:lang w:eastAsia="fr-FR"/>
        </w:rPr>
        <w:t xml:space="preserve"> profit des techniques modernes de production, de financement et d’accès aux marchés intérieurs et extérieurs. </w:t>
      </w:r>
      <w:r w:rsidR="00191BF0">
        <w:rPr>
          <w:rFonts w:cs="Calibri"/>
          <w:sz w:val="28"/>
          <w:szCs w:val="28"/>
          <w:lang w:eastAsia="fr-FR"/>
        </w:rPr>
        <w:t>Et d</w:t>
      </w:r>
      <w:r w:rsidR="00B609D0" w:rsidRPr="00BD426E">
        <w:rPr>
          <w:rFonts w:cs="Calibri"/>
          <w:sz w:val="28"/>
          <w:szCs w:val="28"/>
          <w:lang w:eastAsia="fr-FR"/>
        </w:rPr>
        <w:t xml:space="preserve">e </w:t>
      </w:r>
      <w:r w:rsidR="008C785D">
        <w:rPr>
          <w:rFonts w:cs="Calibri"/>
          <w:sz w:val="28"/>
          <w:szCs w:val="28"/>
          <w:lang w:eastAsia="fr-FR"/>
        </w:rPr>
        <w:t>leur côté</w:t>
      </w:r>
      <w:r w:rsidR="00B609D0" w:rsidRPr="00BD426E">
        <w:rPr>
          <w:rFonts w:cs="Calibri"/>
          <w:sz w:val="28"/>
          <w:szCs w:val="28"/>
          <w:lang w:eastAsia="fr-FR"/>
        </w:rPr>
        <w:t>, les agrégateurs assurent</w:t>
      </w:r>
      <w:r w:rsidR="008C785D">
        <w:rPr>
          <w:rFonts w:cs="Calibri"/>
          <w:sz w:val="28"/>
          <w:szCs w:val="28"/>
          <w:lang w:eastAsia="fr-FR"/>
        </w:rPr>
        <w:t xml:space="preserve"> la régularité de</w:t>
      </w:r>
      <w:r w:rsidR="00B609D0" w:rsidRPr="00BD426E">
        <w:rPr>
          <w:rFonts w:cs="Calibri"/>
          <w:sz w:val="28"/>
          <w:szCs w:val="28"/>
          <w:lang w:eastAsia="fr-FR"/>
        </w:rPr>
        <w:t xml:space="preserve"> l’approvisionnement de leurs unités agro-industrielles</w:t>
      </w:r>
      <w:r w:rsidR="008C785D">
        <w:rPr>
          <w:rFonts w:cs="Calibri"/>
          <w:sz w:val="28"/>
          <w:szCs w:val="28"/>
          <w:lang w:eastAsia="fr-FR"/>
        </w:rPr>
        <w:t xml:space="preserve"> et la conformité des produits en terme de</w:t>
      </w:r>
      <w:r w:rsidR="00B609D0" w:rsidRPr="00BD426E">
        <w:rPr>
          <w:rFonts w:cs="Calibri"/>
          <w:sz w:val="28"/>
          <w:szCs w:val="28"/>
          <w:lang w:eastAsia="fr-FR"/>
        </w:rPr>
        <w:t xml:space="preserve"> qualité, avec une traçabilité garantie.</w:t>
      </w:r>
    </w:p>
    <w:p w14:paraId="00247E5F" w14:textId="77777777" w:rsidR="00F108F9" w:rsidRPr="008C785D" w:rsidRDefault="00F108F9" w:rsidP="008C7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eastAsia="fr-FR"/>
        </w:rPr>
      </w:pPr>
    </w:p>
    <w:sectPr w:rsidR="00F108F9" w:rsidRPr="008C785D" w:rsidSect="008A6F9C">
      <w:headerReference w:type="default" r:id="rId8"/>
      <w:pgSz w:w="11906" w:h="16838"/>
      <w:pgMar w:top="2410" w:right="1133" w:bottom="709" w:left="1276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AC89" w14:textId="77777777" w:rsidR="00CC78B9" w:rsidRDefault="00CC78B9" w:rsidP="007B5DE1">
      <w:pPr>
        <w:spacing w:after="0" w:line="240" w:lineRule="auto"/>
      </w:pPr>
      <w:r>
        <w:separator/>
      </w:r>
    </w:p>
  </w:endnote>
  <w:endnote w:type="continuationSeparator" w:id="0">
    <w:p w14:paraId="6AB536F2" w14:textId="77777777" w:rsidR="00CC78B9" w:rsidRDefault="00CC78B9" w:rsidP="007B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97C5" w14:textId="77777777" w:rsidR="00CC78B9" w:rsidRDefault="00CC78B9" w:rsidP="007B5DE1">
      <w:pPr>
        <w:spacing w:after="0" w:line="240" w:lineRule="auto"/>
      </w:pPr>
      <w:r>
        <w:separator/>
      </w:r>
    </w:p>
  </w:footnote>
  <w:footnote w:type="continuationSeparator" w:id="0">
    <w:p w14:paraId="01171A0C" w14:textId="77777777" w:rsidR="00CC78B9" w:rsidRDefault="00CC78B9" w:rsidP="007B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7E64" w14:textId="77777777" w:rsidR="007B5DE1" w:rsidRDefault="00EB64B0" w:rsidP="00B8431D">
    <w:pPr>
      <w:pStyle w:val="En-tte"/>
      <w:tabs>
        <w:tab w:val="left" w:pos="1380"/>
        <w:tab w:val="left" w:pos="1845"/>
        <w:tab w:val="center" w:pos="5032"/>
      </w:tabs>
    </w:pPr>
    <w:r>
      <w:tab/>
    </w:r>
    <w:r>
      <w:tab/>
    </w:r>
    <w:r w:rsidR="00B8431D">
      <w:tab/>
    </w:r>
    <w:r w:rsidR="00EE43A8" w:rsidRPr="00395FAB">
      <w:rPr>
        <w:noProof/>
        <w:lang w:eastAsia="fr-FR"/>
      </w:rPr>
      <w:drawing>
        <wp:inline distT="0" distB="0" distL="0" distR="0" wp14:anchorId="00247E69" wp14:editId="00247E6A">
          <wp:extent cx="1009015" cy="929005"/>
          <wp:effectExtent l="0" t="0" r="0" b="0"/>
          <wp:docPr id="1" name="Image 123" descr="C:\Users\pc\Desktop\Captur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3" descr="C:\Users\pc\Desktop\Capture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47E65" w14:textId="77777777" w:rsidR="007F0136" w:rsidRPr="007F0136" w:rsidRDefault="007F0136" w:rsidP="007B5DE1">
    <w:pPr>
      <w:pStyle w:val="En-tte"/>
      <w:jc w:val="center"/>
      <w:rPr>
        <w:sz w:val="24"/>
        <w:szCs w:val="24"/>
      </w:rPr>
    </w:pPr>
  </w:p>
  <w:p w14:paraId="00247E66" w14:textId="77777777" w:rsidR="00B8431D" w:rsidRDefault="00D81EA5" w:rsidP="00D81EA5">
    <w:pPr>
      <w:pStyle w:val="En-tte"/>
      <w:jc w:val="center"/>
      <w:rPr>
        <w:b/>
        <w:bCs/>
        <w:sz w:val="24"/>
        <w:szCs w:val="24"/>
      </w:rPr>
    </w:pPr>
    <w:r w:rsidRPr="00D81EA5">
      <w:rPr>
        <w:rFonts w:hint="cs"/>
        <w:b/>
        <w:bCs/>
        <w:sz w:val="24"/>
        <w:szCs w:val="24"/>
        <w:rtl/>
      </w:rPr>
      <w:t>المديرية</w:t>
    </w:r>
    <w:r w:rsidRPr="00D81EA5">
      <w:rPr>
        <w:b/>
        <w:bCs/>
        <w:sz w:val="24"/>
        <w:szCs w:val="24"/>
        <w:rtl/>
      </w:rPr>
      <w:t xml:space="preserve"> </w:t>
    </w:r>
    <w:r w:rsidRPr="00D81EA5">
      <w:rPr>
        <w:rFonts w:hint="cs"/>
        <w:b/>
        <w:bCs/>
        <w:sz w:val="24"/>
        <w:szCs w:val="24"/>
        <w:rtl/>
      </w:rPr>
      <w:t>الجهوية</w:t>
    </w:r>
    <w:r w:rsidRPr="00D81EA5">
      <w:rPr>
        <w:b/>
        <w:bCs/>
        <w:sz w:val="24"/>
        <w:szCs w:val="24"/>
        <w:rtl/>
      </w:rPr>
      <w:t xml:space="preserve"> </w:t>
    </w:r>
    <w:r w:rsidRPr="00D81EA5">
      <w:rPr>
        <w:rFonts w:hint="cs"/>
        <w:b/>
        <w:bCs/>
        <w:sz w:val="24"/>
        <w:szCs w:val="24"/>
        <w:rtl/>
      </w:rPr>
      <w:t>للفلاحة</w:t>
    </w:r>
    <w:r w:rsidRPr="00D81EA5">
      <w:rPr>
        <w:b/>
        <w:bCs/>
        <w:sz w:val="24"/>
        <w:szCs w:val="24"/>
        <w:rtl/>
      </w:rPr>
      <w:t xml:space="preserve"> </w:t>
    </w:r>
    <w:r w:rsidRPr="00D81EA5">
      <w:rPr>
        <w:rFonts w:hint="cs"/>
        <w:b/>
        <w:bCs/>
        <w:sz w:val="24"/>
        <w:szCs w:val="24"/>
        <w:rtl/>
      </w:rPr>
      <w:t>مراكش</w:t>
    </w:r>
    <w:r w:rsidRPr="00D81EA5">
      <w:rPr>
        <w:b/>
        <w:bCs/>
        <w:sz w:val="24"/>
        <w:szCs w:val="24"/>
        <w:rtl/>
      </w:rPr>
      <w:t xml:space="preserve"> </w:t>
    </w:r>
    <w:r w:rsidRPr="00D81EA5">
      <w:rPr>
        <w:rFonts w:hint="cs"/>
        <w:b/>
        <w:bCs/>
        <w:sz w:val="24"/>
        <w:szCs w:val="24"/>
        <w:rtl/>
      </w:rPr>
      <w:t>ـأسفي</w:t>
    </w:r>
  </w:p>
  <w:p w14:paraId="00247E67" w14:textId="77777777" w:rsidR="00020686" w:rsidRPr="007F0136" w:rsidRDefault="00E35444" w:rsidP="00C92CBE">
    <w:pPr>
      <w:pStyle w:val="En-tte"/>
      <w:jc w:val="center"/>
      <w:rPr>
        <w:sz w:val="24"/>
        <w:szCs w:val="24"/>
      </w:rPr>
    </w:pPr>
    <w:r w:rsidRPr="007F0136">
      <w:rPr>
        <w:b/>
        <w:bCs/>
        <w:sz w:val="24"/>
        <w:szCs w:val="24"/>
      </w:rPr>
      <w:t>Direction Régionale de l’Agriculture de Marrakech-Safi</w:t>
    </w:r>
  </w:p>
  <w:p w14:paraId="00247E68" w14:textId="77777777" w:rsidR="00546698" w:rsidRPr="00546698" w:rsidRDefault="00546698" w:rsidP="007C45EE">
    <w:pPr>
      <w:pStyle w:val="En-tte"/>
      <w:ind w:right="-426" w:hanging="426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1"/>
    <w:multiLevelType w:val="hybridMultilevel"/>
    <w:tmpl w:val="2C4CCF2E"/>
    <w:lvl w:ilvl="0" w:tplc="0196549A"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386691"/>
    <w:multiLevelType w:val="hybridMultilevel"/>
    <w:tmpl w:val="2F540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13B3"/>
    <w:multiLevelType w:val="hybridMultilevel"/>
    <w:tmpl w:val="BDF282E4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3FCB"/>
    <w:multiLevelType w:val="hybridMultilevel"/>
    <w:tmpl w:val="73121A66"/>
    <w:lvl w:ilvl="0" w:tplc="1458E91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923E8"/>
    <w:multiLevelType w:val="hybridMultilevel"/>
    <w:tmpl w:val="6D4A16B4"/>
    <w:lvl w:ilvl="0" w:tplc="0196549A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D43204"/>
    <w:multiLevelType w:val="hybridMultilevel"/>
    <w:tmpl w:val="F190E738"/>
    <w:lvl w:ilvl="0" w:tplc="0196549A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5147C23"/>
    <w:multiLevelType w:val="hybridMultilevel"/>
    <w:tmpl w:val="56DCAE50"/>
    <w:lvl w:ilvl="0" w:tplc="1458E91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573BE"/>
    <w:multiLevelType w:val="hybridMultilevel"/>
    <w:tmpl w:val="4538E152"/>
    <w:lvl w:ilvl="0" w:tplc="0196549A"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A32FAD"/>
    <w:multiLevelType w:val="hybridMultilevel"/>
    <w:tmpl w:val="59C673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44387"/>
    <w:multiLevelType w:val="hybridMultilevel"/>
    <w:tmpl w:val="96FA684C"/>
    <w:lvl w:ilvl="0" w:tplc="829C0CF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96879">
    <w:abstractNumId w:val="3"/>
  </w:num>
  <w:num w:numId="2" w16cid:durableId="761416717">
    <w:abstractNumId w:val="2"/>
  </w:num>
  <w:num w:numId="3" w16cid:durableId="470831306">
    <w:abstractNumId w:val="5"/>
  </w:num>
  <w:num w:numId="4" w16cid:durableId="1564832693">
    <w:abstractNumId w:val="9"/>
  </w:num>
  <w:num w:numId="5" w16cid:durableId="614143867">
    <w:abstractNumId w:val="0"/>
  </w:num>
  <w:num w:numId="6" w16cid:durableId="1616208348">
    <w:abstractNumId w:val="6"/>
  </w:num>
  <w:num w:numId="7" w16cid:durableId="1635672909">
    <w:abstractNumId w:val="8"/>
  </w:num>
  <w:num w:numId="8" w16cid:durableId="1839034945">
    <w:abstractNumId w:val="7"/>
  </w:num>
  <w:num w:numId="9" w16cid:durableId="1122574404">
    <w:abstractNumId w:val="4"/>
  </w:num>
  <w:num w:numId="10" w16cid:durableId="175724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23"/>
    <w:rsid w:val="00007C91"/>
    <w:rsid w:val="00010832"/>
    <w:rsid w:val="0001620D"/>
    <w:rsid w:val="00020686"/>
    <w:rsid w:val="0003108F"/>
    <w:rsid w:val="00040503"/>
    <w:rsid w:val="000416F8"/>
    <w:rsid w:val="00042820"/>
    <w:rsid w:val="00043007"/>
    <w:rsid w:val="000501DF"/>
    <w:rsid w:val="00053594"/>
    <w:rsid w:val="00060451"/>
    <w:rsid w:val="000608F3"/>
    <w:rsid w:val="00070E5B"/>
    <w:rsid w:val="00074E2C"/>
    <w:rsid w:val="00095959"/>
    <w:rsid w:val="000A20DB"/>
    <w:rsid w:val="000A5AF3"/>
    <w:rsid w:val="000B595B"/>
    <w:rsid w:val="000C6891"/>
    <w:rsid w:val="000C7460"/>
    <w:rsid w:val="000D3437"/>
    <w:rsid w:val="000D4B23"/>
    <w:rsid w:val="000E4435"/>
    <w:rsid w:val="00103F83"/>
    <w:rsid w:val="00107082"/>
    <w:rsid w:val="00107155"/>
    <w:rsid w:val="00107628"/>
    <w:rsid w:val="00110949"/>
    <w:rsid w:val="0011263E"/>
    <w:rsid w:val="00113A87"/>
    <w:rsid w:val="00130013"/>
    <w:rsid w:val="00133E0E"/>
    <w:rsid w:val="00136DD7"/>
    <w:rsid w:val="0014221D"/>
    <w:rsid w:val="001532BD"/>
    <w:rsid w:val="001550ED"/>
    <w:rsid w:val="00174154"/>
    <w:rsid w:val="00177B47"/>
    <w:rsid w:val="00181B1D"/>
    <w:rsid w:val="00184292"/>
    <w:rsid w:val="00185727"/>
    <w:rsid w:val="00191BF0"/>
    <w:rsid w:val="001964C1"/>
    <w:rsid w:val="001A2602"/>
    <w:rsid w:val="001A7705"/>
    <w:rsid w:val="001B75FC"/>
    <w:rsid w:val="001C71ED"/>
    <w:rsid w:val="001D140F"/>
    <w:rsid w:val="001D45B2"/>
    <w:rsid w:val="001D7F56"/>
    <w:rsid w:val="001E1B1D"/>
    <w:rsid w:val="00201043"/>
    <w:rsid w:val="002026FB"/>
    <w:rsid w:val="00206252"/>
    <w:rsid w:val="00210E2B"/>
    <w:rsid w:val="002229BB"/>
    <w:rsid w:val="002233C2"/>
    <w:rsid w:val="00227473"/>
    <w:rsid w:val="00230358"/>
    <w:rsid w:val="00230A16"/>
    <w:rsid w:val="00233F13"/>
    <w:rsid w:val="00240CFA"/>
    <w:rsid w:val="0027433C"/>
    <w:rsid w:val="00283151"/>
    <w:rsid w:val="00287F8D"/>
    <w:rsid w:val="00296C00"/>
    <w:rsid w:val="002A04C9"/>
    <w:rsid w:val="002A12ED"/>
    <w:rsid w:val="002D3AAC"/>
    <w:rsid w:val="002F54DE"/>
    <w:rsid w:val="00303B52"/>
    <w:rsid w:val="0030767D"/>
    <w:rsid w:val="003135C4"/>
    <w:rsid w:val="00322E01"/>
    <w:rsid w:val="00325C53"/>
    <w:rsid w:val="003339B6"/>
    <w:rsid w:val="00353116"/>
    <w:rsid w:val="00354E51"/>
    <w:rsid w:val="00357AC9"/>
    <w:rsid w:val="00363D1F"/>
    <w:rsid w:val="0037223C"/>
    <w:rsid w:val="003919B4"/>
    <w:rsid w:val="00392A4F"/>
    <w:rsid w:val="00392D84"/>
    <w:rsid w:val="003B2142"/>
    <w:rsid w:val="003C7107"/>
    <w:rsid w:val="003E1577"/>
    <w:rsid w:val="0040211F"/>
    <w:rsid w:val="00412B8E"/>
    <w:rsid w:val="0042009B"/>
    <w:rsid w:val="00421323"/>
    <w:rsid w:val="00427F8B"/>
    <w:rsid w:val="004307B3"/>
    <w:rsid w:val="00442C9B"/>
    <w:rsid w:val="0047733B"/>
    <w:rsid w:val="004814FE"/>
    <w:rsid w:val="004A0D3C"/>
    <w:rsid w:val="004A4C6E"/>
    <w:rsid w:val="004B4B0F"/>
    <w:rsid w:val="004B6971"/>
    <w:rsid w:val="004D1626"/>
    <w:rsid w:val="004D1660"/>
    <w:rsid w:val="004D2EB7"/>
    <w:rsid w:val="004E38D8"/>
    <w:rsid w:val="004E3C1D"/>
    <w:rsid w:val="004F0BAC"/>
    <w:rsid w:val="00502841"/>
    <w:rsid w:val="00503811"/>
    <w:rsid w:val="00514C06"/>
    <w:rsid w:val="00527971"/>
    <w:rsid w:val="00531D95"/>
    <w:rsid w:val="005420A1"/>
    <w:rsid w:val="00545C03"/>
    <w:rsid w:val="00546698"/>
    <w:rsid w:val="0055241F"/>
    <w:rsid w:val="00555778"/>
    <w:rsid w:val="0056142E"/>
    <w:rsid w:val="00595CDE"/>
    <w:rsid w:val="00596872"/>
    <w:rsid w:val="005B5A1B"/>
    <w:rsid w:val="005B6F54"/>
    <w:rsid w:val="005C2813"/>
    <w:rsid w:val="005D02DE"/>
    <w:rsid w:val="005D1956"/>
    <w:rsid w:val="005E1CEA"/>
    <w:rsid w:val="005E52A5"/>
    <w:rsid w:val="005E5E58"/>
    <w:rsid w:val="00617D25"/>
    <w:rsid w:val="006212D8"/>
    <w:rsid w:val="00626337"/>
    <w:rsid w:val="00626AE9"/>
    <w:rsid w:val="006355D2"/>
    <w:rsid w:val="00641E82"/>
    <w:rsid w:val="00644946"/>
    <w:rsid w:val="00650163"/>
    <w:rsid w:val="00654B93"/>
    <w:rsid w:val="00656EFE"/>
    <w:rsid w:val="00660C69"/>
    <w:rsid w:val="00660E08"/>
    <w:rsid w:val="00676FE7"/>
    <w:rsid w:val="00681CBE"/>
    <w:rsid w:val="006823F2"/>
    <w:rsid w:val="006853DB"/>
    <w:rsid w:val="006A0C3B"/>
    <w:rsid w:val="006A1E57"/>
    <w:rsid w:val="006A27B9"/>
    <w:rsid w:val="006A431C"/>
    <w:rsid w:val="006A7411"/>
    <w:rsid w:val="006C02AC"/>
    <w:rsid w:val="006C0AD4"/>
    <w:rsid w:val="006C5CF0"/>
    <w:rsid w:val="006D079A"/>
    <w:rsid w:val="006D2258"/>
    <w:rsid w:val="006D2721"/>
    <w:rsid w:val="006D692B"/>
    <w:rsid w:val="006D7270"/>
    <w:rsid w:val="006E20DF"/>
    <w:rsid w:val="006E3957"/>
    <w:rsid w:val="006F2997"/>
    <w:rsid w:val="006F39EA"/>
    <w:rsid w:val="007052A5"/>
    <w:rsid w:val="00717601"/>
    <w:rsid w:val="007221C8"/>
    <w:rsid w:val="007354CC"/>
    <w:rsid w:val="00735A80"/>
    <w:rsid w:val="00742973"/>
    <w:rsid w:val="007527ED"/>
    <w:rsid w:val="00754FF9"/>
    <w:rsid w:val="00762AA2"/>
    <w:rsid w:val="00784302"/>
    <w:rsid w:val="007962DE"/>
    <w:rsid w:val="007B22EA"/>
    <w:rsid w:val="007B5DE1"/>
    <w:rsid w:val="007C45EE"/>
    <w:rsid w:val="007D2E85"/>
    <w:rsid w:val="007D4C35"/>
    <w:rsid w:val="007D62EB"/>
    <w:rsid w:val="007E1B48"/>
    <w:rsid w:val="007E1DB7"/>
    <w:rsid w:val="007E57A3"/>
    <w:rsid w:val="007F0136"/>
    <w:rsid w:val="007F432A"/>
    <w:rsid w:val="008134B4"/>
    <w:rsid w:val="00813685"/>
    <w:rsid w:val="008146AB"/>
    <w:rsid w:val="00815A5E"/>
    <w:rsid w:val="00821162"/>
    <w:rsid w:val="0083274D"/>
    <w:rsid w:val="0084178E"/>
    <w:rsid w:val="00852BB2"/>
    <w:rsid w:val="008673D0"/>
    <w:rsid w:val="008959BC"/>
    <w:rsid w:val="008A2C18"/>
    <w:rsid w:val="008A6F9C"/>
    <w:rsid w:val="008B7AC6"/>
    <w:rsid w:val="008C785D"/>
    <w:rsid w:val="008D176F"/>
    <w:rsid w:val="008D49A8"/>
    <w:rsid w:val="008D6E2C"/>
    <w:rsid w:val="008F0329"/>
    <w:rsid w:val="00901699"/>
    <w:rsid w:val="00901CFF"/>
    <w:rsid w:val="00907B91"/>
    <w:rsid w:val="00910352"/>
    <w:rsid w:val="009132C5"/>
    <w:rsid w:val="00915820"/>
    <w:rsid w:val="0091777E"/>
    <w:rsid w:val="009203FE"/>
    <w:rsid w:val="00922E17"/>
    <w:rsid w:val="00932492"/>
    <w:rsid w:val="00932539"/>
    <w:rsid w:val="009350A5"/>
    <w:rsid w:val="00935BEB"/>
    <w:rsid w:val="00944BF1"/>
    <w:rsid w:val="009513FF"/>
    <w:rsid w:val="00953706"/>
    <w:rsid w:val="009645DF"/>
    <w:rsid w:val="0096608D"/>
    <w:rsid w:val="009802A5"/>
    <w:rsid w:val="009934BD"/>
    <w:rsid w:val="009A2307"/>
    <w:rsid w:val="009A785B"/>
    <w:rsid w:val="009B1F72"/>
    <w:rsid w:val="00A10D49"/>
    <w:rsid w:val="00A11B65"/>
    <w:rsid w:val="00A12CDE"/>
    <w:rsid w:val="00A13B2B"/>
    <w:rsid w:val="00A26EB7"/>
    <w:rsid w:val="00A27077"/>
    <w:rsid w:val="00A36F75"/>
    <w:rsid w:val="00A4147D"/>
    <w:rsid w:val="00A542A4"/>
    <w:rsid w:val="00A5754D"/>
    <w:rsid w:val="00A6676D"/>
    <w:rsid w:val="00A70848"/>
    <w:rsid w:val="00A8243E"/>
    <w:rsid w:val="00A86D98"/>
    <w:rsid w:val="00A86DED"/>
    <w:rsid w:val="00A91FC6"/>
    <w:rsid w:val="00A92244"/>
    <w:rsid w:val="00A949F1"/>
    <w:rsid w:val="00A94F40"/>
    <w:rsid w:val="00A94FF8"/>
    <w:rsid w:val="00A97303"/>
    <w:rsid w:val="00AA31F9"/>
    <w:rsid w:val="00AA48F7"/>
    <w:rsid w:val="00AB50B7"/>
    <w:rsid w:val="00AC1235"/>
    <w:rsid w:val="00AD49A4"/>
    <w:rsid w:val="00AE112B"/>
    <w:rsid w:val="00AE3BF2"/>
    <w:rsid w:val="00AF2C22"/>
    <w:rsid w:val="00B011E0"/>
    <w:rsid w:val="00B13500"/>
    <w:rsid w:val="00B17171"/>
    <w:rsid w:val="00B35BCC"/>
    <w:rsid w:val="00B457AF"/>
    <w:rsid w:val="00B53CE1"/>
    <w:rsid w:val="00B558B6"/>
    <w:rsid w:val="00B609D0"/>
    <w:rsid w:val="00B8431D"/>
    <w:rsid w:val="00B847BC"/>
    <w:rsid w:val="00B85526"/>
    <w:rsid w:val="00B971F4"/>
    <w:rsid w:val="00BB4697"/>
    <w:rsid w:val="00BC442C"/>
    <w:rsid w:val="00BC75DF"/>
    <w:rsid w:val="00BD426E"/>
    <w:rsid w:val="00BE28C2"/>
    <w:rsid w:val="00BE3D3D"/>
    <w:rsid w:val="00BF374F"/>
    <w:rsid w:val="00C00ADF"/>
    <w:rsid w:val="00C014C3"/>
    <w:rsid w:val="00C05E2B"/>
    <w:rsid w:val="00C23BB7"/>
    <w:rsid w:val="00C256DC"/>
    <w:rsid w:val="00C3185A"/>
    <w:rsid w:val="00C40846"/>
    <w:rsid w:val="00C46E8E"/>
    <w:rsid w:val="00C51C2C"/>
    <w:rsid w:val="00C66812"/>
    <w:rsid w:val="00C7576B"/>
    <w:rsid w:val="00C83C1A"/>
    <w:rsid w:val="00C8679E"/>
    <w:rsid w:val="00C92CBE"/>
    <w:rsid w:val="00CB581F"/>
    <w:rsid w:val="00CC17DA"/>
    <w:rsid w:val="00CC78B9"/>
    <w:rsid w:val="00CD0C95"/>
    <w:rsid w:val="00CF3103"/>
    <w:rsid w:val="00D02D33"/>
    <w:rsid w:val="00D10689"/>
    <w:rsid w:val="00D267D6"/>
    <w:rsid w:val="00D3090C"/>
    <w:rsid w:val="00D353CD"/>
    <w:rsid w:val="00D361F4"/>
    <w:rsid w:val="00D3697B"/>
    <w:rsid w:val="00D451CB"/>
    <w:rsid w:val="00D81EA5"/>
    <w:rsid w:val="00D8484A"/>
    <w:rsid w:val="00D8596F"/>
    <w:rsid w:val="00D972F4"/>
    <w:rsid w:val="00DC454F"/>
    <w:rsid w:val="00DD23E8"/>
    <w:rsid w:val="00DD2989"/>
    <w:rsid w:val="00DE1481"/>
    <w:rsid w:val="00DE6691"/>
    <w:rsid w:val="00DF055A"/>
    <w:rsid w:val="00DF64FC"/>
    <w:rsid w:val="00DF7B52"/>
    <w:rsid w:val="00E00FC7"/>
    <w:rsid w:val="00E04C19"/>
    <w:rsid w:val="00E07286"/>
    <w:rsid w:val="00E11FC5"/>
    <w:rsid w:val="00E200ED"/>
    <w:rsid w:val="00E27F1E"/>
    <w:rsid w:val="00E353BD"/>
    <w:rsid w:val="00E35444"/>
    <w:rsid w:val="00E46E61"/>
    <w:rsid w:val="00E5476B"/>
    <w:rsid w:val="00E57CCD"/>
    <w:rsid w:val="00E664C3"/>
    <w:rsid w:val="00E719D6"/>
    <w:rsid w:val="00E738F1"/>
    <w:rsid w:val="00E91352"/>
    <w:rsid w:val="00EA0BD7"/>
    <w:rsid w:val="00EB0428"/>
    <w:rsid w:val="00EB1501"/>
    <w:rsid w:val="00EB24D9"/>
    <w:rsid w:val="00EB64B0"/>
    <w:rsid w:val="00ED6EE3"/>
    <w:rsid w:val="00EE43A8"/>
    <w:rsid w:val="00F03BCA"/>
    <w:rsid w:val="00F07F91"/>
    <w:rsid w:val="00F108F9"/>
    <w:rsid w:val="00F123A0"/>
    <w:rsid w:val="00F12C78"/>
    <w:rsid w:val="00F20BFE"/>
    <w:rsid w:val="00F33573"/>
    <w:rsid w:val="00F41279"/>
    <w:rsid w:val="00F502F6"/>
    <w:rsid w:val="00F528AA"/>
    <w:rsid w:val="00F73A49"/>
    <w:rsid w:val="00F778B6"/>
    <w:rsid w:val="00F95E7A"/>
    <w:rsid w:val="00FC6849"/>
    <w:rsid w:val="00FE62A8"/>
    <w:rsid w:val="00FF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47E4A"/>
  <w15:docId w15:val="{EEC9FF53-400A-4654-98B8-BBF09A4A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2A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45C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5DE1"/>
  </w:style>
  <w:style w:type="paragraph" w:styleId="Pieddepage">
    <w:name w:val="footer"/>
    <w:basedOn w:val="Normal"/>
    <w:link w:val="PieddepageCar"/>
    <w:uiPriority w:val="99"/>
    <w:unhideWhenUsed/>
    <w:rsid w:val="007B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5DE1"/>
  </w:style>
  <w:style w:type="paragraph" w:styleId="Textedebulles">
    <w:name w:val="Balloon Text"/>
    <w:basedOn w:val="Normal"/>
    <w:link w:val="TextedebullesCar"/>
    <w:uiPriority w:val="99"/>
    <w:semiHidden/>
    <w:unhideWhenUsed/>
    <w:rsid w:val="0061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17D25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7433C"/>
  </w:style>
  <w:style w:type="table" w:styleId="Grilledutableau">
    <w:name w:val="Table Grid"/>
    <w:basedOn w:val="TableauNormal"/>
    <w:uiPriority w:val="59"/>
    <w:rsid w:val="003339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ion">
    <w:name w:val="Emphasis"/>
    <w:uiPriority w:val="20"/>
    <w:qFormat/>
    <w:rsid w:val="00EB6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CA6F-96A4-4458-B538-C9DECCB8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Rania GOUBA</cp:lastModifiedBy>
  <cp:revision>4</cp:revision>
  <cp:lastPrinted>2022-11-17T08:17:00Z</cp:lastPrinted>
  <dcterms:created xsi:type="dcterms:W3CDTF">2022-11-17T20:14:00Z</dcterms:created>
  <dcterms:modified xsi:type="dcterms:W3CDTF">2023-07-24T10:33:00Z</dcterms:modified>
</cp:coreProperties>
</file>