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0B8" w:rsidRPr="00535340" w:rsidRDefault="00E360B8" w:rsidP="00535340">
      <w:pPr>
        <w:pStyle w:val="Titre1"/>
        <w:jc w:val="center"/>
        <w:rPr>
          <w:color w:val="auto"/>
          <w:sz w:val="18"/>
          <w:szCs w:val="18"/>
          <w:lang w:val="fr-CA"/>
        </w:rPr>
      </w:pPr>
      <w:bookmarkStart w:id="0" w:name="_GoBack"/>
      <w:bookmarkEnd w:id="0"/>
      <w:r w:rsidRPr="00535340">
        <w:rPr>
          <w:color w:val="auto"/>
          <w:sz w:val="18"/>
          <w:szCs w:val="18"/>
          <w:lang w:val="fr-CA"/>
        </w:rPr>
        <w:t>ROYAUME DU MAROC</w:t>
      </w:r>
    </w:p>
    <w:p w:rsidR="00E360B8" w:rsidRPr="007D7EE2" w:rsidRDefault="00E360B8" w:rsidP="00E360B8">
      <w:pPr>
        <w:tabs>
          <w:tab w:val="center" w:pos="4536"/>
          <w:tab w:val="right" w:pos="9072"/>
        </w:tabs>
        <w:jc w:val="center"/>
        <w:rPr>
          <w:rFonts w:ascii="Book Antiqua" w:hAnsi="Book Antiqua"/>
          <w:b/>
          <w:bCs/>
          <w:i/>
          <w:sz w:val="18"/>
          <w:szCs w:val="18"/>
        </w:rPr>
      </w:pPr>
      <w:r w:rsidRPr="007D7EE2">
        <w:rPr>
          <w:noProof/>
        </w:rPr>
        <w:drawing>
          <wp:inline distT="0" distB="0" distL="0" distR="0" wp14:anchorId="6AED25EF" wp14:editId="26D5299A">
            <wp:extent cx="523875" cy="571500"/>
            <wp:effectExtent l="0" t="0" r="9525" b="0"/>
            <wp:docPr id="322" name="Image 322" descr="Le-statut-juridique-des-travailleurs-agricoles-Maro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e-statut-juridique-des-travailleurs-agricoles-Maroc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p w:rsidR="00E360B8" w:rsidRDefault="00E360B8" w:rsidP="00E360B8">
      <w:pPr>
        <w:tabs>
          <w:tab w:val="center" w:pos="4536"/>
          <w:tab w:val="right" w:pos="9072"/>
        </w:tabs>
        <w:spacing w:line="360" w:lineRule="auto"/>
        <w:jc w:val="center"/>
        <w:rPr>
          <w:rFonts w:ascii="Book Antiqua" w:hAnsi="Book Antiqua"/>
          <w:b/>
          <w:bCs/>
          <w:i/>
          <w:sz w:val="18"/>
          <w:szCs w:val="18"/>
          <w:rtl/>
        </w:rPr>
      </w:pPr>
      <w:r w:rsidRPr="007D7EE2">
        <w:rPr>
          <w:rFonts w:ascii="Book Antiqua" w:hAnsi="Book Antiqua"/>
          <w:b/>
          <w:bCs/>
          <w:i/>
          <w:sz w:val="18"/>
          <w:szCs w:val="18"/>
        </w:rPr>
        <w:t>Ministère de l’Agriculture, de la  Pêche  Maritime, De Développement Rural des Eaux et Forêts</w:t>
      </w:r>
    </w:p>
    <w:p w:rsidR="00E360B8" w:rsidRPr="007D7EE2" w:rsidRDefault="00E360B8" w:rsidP="00E360B8">
      <w:pPr>
        <w:tabs>
          <w:tab w:val="center" w:pos="4536"/>
          <w:tab w:val="right" w:pos="9072"/>
        </w:tabs>
        <w:spacing w:line="360" w:lineRule="auto"/>
        <w:jc w:val="center"/>
        <w:rPr>
          <w:rFonts w:ascii="Book Antiqua" w:hAnsi="Book Antiqua"/>
          <w:b/>
          <w:bCs/>
          <w:i/>
          <w:sz w:val="18"/>
          <w:szCs w:val="18"/>
        </w:rPr>
      </w:pPr>
      <w:r>
        <w:rPr>
          <w:rFonts w:ascii="Book Antiqua" w:hAnsi="Book Antiqua" w:hint="cs"/>
          <w:b/>
          <w:bCs/>
          <w:i/>
          <w:sz w:val="18"/>
          <w:szCs w:val="18"/>
          <w:rtl/>
        </w:rPr>
        <w:t>وزارة الفلاحة ،الصيد البحري، التنمية الفلاحية و المياه و الغابات</w:t>
      </w:r>
    </w:p>
    <w:p w:rsidR="00E360B8" w:rsidRPr="007D7EE2" w:rsidRDefault="00E360B8" w:rsidP="00E360B8">
      <w:pPr>
        <w:tabs>
          <w:tab w:val="center" w:pos="4536"/>
          <w:tab w:val="right" w:pos="9072"/>
        </w:tabs>
        <w:spacing w:line="360" w:lineRule="auto"/>
        <w:jc w:val="center"/>
        <w:rPr>
          <w:rFonts w:ascii="Book Antiqua" w:hAnsi="Book Antiqua"/>
          <w:b/>
          <w:bCs/>
          <w:i/>
          <w:sz w:val="18"/>
          <w:szCs w:val="18"/>
        </w:rPr>
      </w:pPr>
      <w:r w:rsidRPr="007D7EE2">
        <w:rPr>
          <w:rFonts w:ascii="Book Antiqua" w:hAnsi="Book Antiqua"/>
          <w:b/>
          <w:bCs/>
          <w:i/>
          <w:sz w:val="18"/>
          <w:szCs w:val="18"/>
        </w:rPr>
        <w:t>************************************</w:t>
      </w:r>
    </w:p>
    <w:p w:rsidR="00E360B8" w:rsidRDefault="00E360B8" w:rsidP="00E360B8">
      <w:pPr>
        <w:tabs>
          <w:tab w:val="center" w:pos="4536"/>
          <w:tab w:val="right" w:pos="9072"/>
        </w:tabs>
        <w:spacing w:line="360" w:lineRule="auto"/>
        <w:jc w:val="center"/>
        <w:rPr>
          <w:rFonts w:ascii="Book Antiqua" w:hAnsi="Book Antiqua"/>
          <w:b/>
          <w:bCs/>
          <w:i/>
          <w:sz w:val="18"/>
          <w:szCs w:val="18"/>
          <w:rtl/>
        </w:rPr>
      </w:pPr>
      <w:r w:rsidRPr="007D7EE2">
        <w:rPr>
          <w:rFonts w:ascii="Book Antiqua" w:hAnsi="Book Antiqua"/>
          <w:b/>
          <w:bCs/>
          <w:i/>
          <w:sz w:val="18"/>
          <w:szCs w:val="18"/>
        </w:rPr>
        <w:t>Direction Régionale de l’Agriculture Beni Mellal Khénifra</w:t>
      </w:r>
    </w:p>
    <w:p w:rsidR="00E360B8" w:rsidRDefault="00E360B8" w:rsidP="00E360B8">
      <w:pPr>
        <w:tabs>
          <w:tab w:val="center" w:pos="4536"/>
          <w:tab w:val="right" w:pos="9072"/>
        </w:tabs>
        <w:spacing w:line="360" w:lineRule="auto"/>
        <w:jc w:val="center"/>
        <w:rPr>
          <w:rFonts w:ascii="Book Antiqua" w:hAnsi="Book Antiqua"/>
          <w:b/>
          <w:bCs/>
          <w:i/>
          <w:sz w:val="18"/>
          <w:szCs w:val="18"/>
          <w:rtl/>
        </w:rPr>
      </w:pPr>
      <w:r>
        <w:rPr>
          <w:rFonts w:ascii="Book Antiqua" w:hAnsi="Book Antiqua" w:hint="cs"/>
          <w:b/>
          <w:bCs/>
          <w:i/>
          <w:sz w:val="18"/>
          <w:szCs w:val="18"/>
          <w:rtl/>
        </w:rPr>
        <w:t>المديرية الجهوية للفلاحة بني ملال خنيفرة</w:t>
      </w:r>
    </w:p>
    <w:p w:rsidR="00E360B8" w:rsidRPr="00927A69" w:rsidRDefault="00E360B8" w:rsidP="00E360B8">
      <w:pPr>
        <w:pBdr>
          <w:bottom w:val="single" w:sz="4" w:space="1" w:color="auto"/>
        </w:pBdr>
        <w:tabs>
          <w:tab w:val="center" w:pos="4536"/>
          <w:tab w:val="right" w:pos="9072"/>
        </w:tabs>
        <w:jc w:val="center"/>
        <w:rPr>
          <w:rFonts w:ascii="Arial Narrow" w:hAnsi="Arial Narrow"/>
          <w:b/>
          <w:bCs/>
          <w:i/>
          <w:rtl/>
          <w:lang w:bidi="ar-MA"/>
        </w:rPr>
      </w:pPr>
    </w:p>
    <w:p w:rsidR="004443EA" w:rsidRDefault="004443EA">
      <w:pPr>
        <w:rPr>
          <w:lang w:bidi="ar-MA"/>
        </w:rPr>
      </w:pPr>
    </w:p>
    <w:p w:rsidR="004443EA" w:rsidRPr="00C925BE" w:rsidRDefault="005938A0" w:rsidP="005938A0">
      <w:pPr>
        <w:rPr>
          <w:b/>
          <w:bCs/>
          <w:u w:val="single"/>
          <w:lang w:bidi="ar-MA"/>
        </w:rPr>
      </w:pPr>
      <w:r>
        <w:rPr>
          <w:b/>
          <w:bCs/>
          <w:u w:val="single"/>
          <w:lang w:bidi="ar-MA"/>
        </w:rPr>
        <w:t>Lundi</w:t>
      </w:r>
      <w:r w:rsidR="004443EA" w:rsidRPr="00C925BE">
        <w:rPr>
          <w:b/>
          <w:bCs/>
          <w:u w:val="single"/>
          <w:lang w:bidi="ar-MA"/>
        </w:rPr>
        <w:t xml:space="preserve"> </w:t>
      </w:r>
      <w:r>
        <w:rPr>
          <w:b/>
          <w:bCs/>
          <w:u w:val="single"/>
          <w:lang w:bidi="ar-MA"/>
        </w:rPr>
        <w:t>21</w:t>
      </w:r>
      <w:r w:rsidR="004443EA" w:rsidRPr="00C925BE">
        <w:rPr>
          <w:b/>
          <w:bCs/>
          <w:u w:val="single"/>
          <w:lang w:bidi="ar-MA"/>
        </w:rPr>
        <w:t>-</w:t>
      </w:r>
      <w:r w:rsidR="000F79A7" w:rsidRPr="00C925BE">
        <w:rPr>
          <w:b/>
          <w:bCs/>
          <w:u w:val="single"/>
          <w:lang w:bidi="ar-MA"/>
        </w:rPr>
        <w:t>03-2022</w:t>
      </w:r>
    </w:p>
    <w:p w:rsidR="004443EA" w:rsidRPr="004443EA" w:rsidRDefault="004443EA" w:rsidP="004443EA">
      <w:pPr>
        <w:rPr>
          <w:lang w:bidi="ar-MA"/>
        </w:rPr>
      </w:pPr>
      <w:r>
        <w:rPr>
          <w:rFonts w:ascii="Book Antiqua" w:eastAsia="Calibri" w:hAnsi="Book Antiqua" w:cs="Simplified Arabic" w:hint="cs"/>
          <w:b/>
          <w:bCs/>
          <w:noProof/>
          <w:sz w:val="36"/>
          <w:szCs w:val="36"/>
          <w:rtl/>
        </w:rPr>
        <mc:AlternateContent>
          <mc:Choice Requires="wps">
            <w:drawing>
              <wp:anchor distT="0" distB="0" distL="114300" distR="114300" simplePos="0" relativeHeight="251661312" behindDoc="0" locked="0" layoutInCell="1" allowOverlap="1" wp14:anchorId="13E0DFFA" wp14:editId="34FD4460">
                <wp:simplePos x="0" y="0"/>
                <wp:positionH relativeFrom="column">
                  <wp:posOffset>-144422</wp:posOffset>
                </wp:positionH>
                <wp:positionV relativeFrom="paragraph">
                  <wp:posOffset>77718</wp:posOffset>
                </wp:positionV>
                <wp:extent cx="6056243" cy="429370"/>
                <wp:effectExtent l="57150" t="38100" r="78105" b="104140"/>
                <wp:wrapNone/>
                <wp:docPr id="1" name="Rectangle à coins arrondis 1"/>
                <wp:cNvGraphicFramePr/>
                <a:graphic xmlns:a="http://schemas.openxmlformats.org/drawingml/2006/main">
                  <a:graphicData uri="http://schemas.microsoft.com/office/word/2010/wordprocessingShape">
                    <wps:wsp>
                      <wps:cNvSpPr/>
                      <wps:spPr>
                        <a:xfrm>
                          <a:off x="0" y="0"/>
                          <a:ext cx="6056243" cy="429370"/>
                        </a:xfrm>
                        <a:prstGeom prst="roundRect">
                          <a:avLst/>
                        </a:prstGeom>
                        <a:solidFill>
                          <a:srgbClr val="C00000"/>
                        </a:solidFill>
                      </wps:spPr>
                      <wps:style>
                        <a:lnRef idx="1">
                          <a:schemeClr val="accent2"/>
                        </a:lnRef>
                        <a:fillRef idx="2">
                          <a:schemeClr val="accent2"/>
                        </a:fillRef>
                        <a:effectRef idx="1">
                          <a:schemeClr val="accent2"/>
                        </a:effectRef>
                        <a:fontRef idx="minor">
                          <a:schemeClr val="dk1"/>
                        </a:fontRef>
                      </wps:style>
                      <wps:txbx>
                        <w:txbxContent>
                          <w:p w:rsidR="004443EA" w:rsidRPr="00430392" w:rsidRDefault="000F79A7" w:rsidP="00ED2377">
                            <w:pPr>
                              <w:jc w:val="center"/>
                              <w:rPr>
                                <w:rStyle w:val="lev"/>
                                <w:rFonts w:ascii="Arial Black" w:hAnsi="Arial Black"/>
                                <w:color w:val="FFFFFF" w:themeColor="background1"/>
                                <w:sz w:val="32"/>
                                <w:szCs w:val="32"/>
                              </w:rPr>
                            </w:pPr>
                            <w:r w:rsidRPr="00430392">
                              <w:rPr>
                                <w:rStyle w:val="lev"/>
                                <w:rFonts w:ascii="Arial Black" w:hAnsi="Arial Black" w:cstheme="majorBidi"/>
                                <w:color w:val="FFFFFF" w:themeColor="background1"/>
                                <w:sz w:val="28"/>
                                <w:szCs w:val="28"/>
                                <w:bdr w:val="none" w:sz="0" w:space="0" w:color="auto" w:frame="1"/>
                              </w:rPr>
                              <w:t>COMMUNIQU</w:t>
                            </w:r>
                            <w:r w:rsidR="00ED2377">
                              <w:rPr>
                                <w:rStyle w:val="lev"/>
                                <w:rFonts w:ascii="Arial Black" w:hAnsi="Arial Black" w:cstheme="majorBidi"/>
                                <w:color w:val="FFFFFF" w:themeColor="background1"/>
                                <w:sz w:val="28"/>
                                <w:szCs w:val="28"/>
                                <w:bdr w:val="none" w:sz="0" w:space="0" w:color="auto" w:frame="1"/>
                              </w:rPr>
                              <w:t>E</w:t>
                            </w:r>
                            <w:r w:rsidRPr="00430392">
                              <w:rPr>
                                <w:rStyle w:val="lev"/>
                                <w:rFonts w:ascii="Arial Black" w:hAnsi="Arial Black" w:cstheme="majorBidi"/>
                                <w:color w:val="FFFFFF" w:themeColor="background1"/>
                                <w:sz w:val="28"/>
                                <w:szCs w:val="28"/>
                                <w:bdr w:val="none" w:sz="0" w:space="0" w:color="auto" w:frame="1"/>
                              </w:rPr>
                              <w:t xml:space="preserve"> DE PRESSE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0DFFA" id="Rectangle à coins arrondis 1" o:spid="_x0000_s1026" style="position:absolute;margin-left:-11.35pt;margin-top:6.1pt;width:476.85pt;height: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" fillcolor="#c00000" strokecolor="#bc4542 [3045]">
                <v:shadow on="t" color="black" opacity="24903f" origin=",.5" offset="0,.55556mm"/>
                <v:textbox>
                  <w:txbxContent>
                    <w:p w:rsidR="004443EA" w:rsidRPr="00430392" w:rsidRDefault="000F79A7" w:rsidP="00ED2377">
                      <w:pPr>
                        <w:jc w:val="center"/>
                        <w:rPr>
                          <w:rStyle w:val="lev"/>
                          <w:rFonts w:ascii="Arial Black" w:hAnsi="Arial Black"/>
                          <w:color w:val="FFFFFF" w:themeColor="background1"/>
                          <w:sz w:val="32"/>
                          <w:szCs w:val="32"/>
                        </w:rPr>
                      </w:pPr>
                      <w:r w:rsidRPr="00430392">
                        <w:rPr>
                          <w:rStyle w:val="lev"/>
                          <w:rFonts w:ascii="Arial Black" w:hAnsi="Arial Black" w:cstheme="majorBidi"/>
                          <w:color w:val="FFFFFF" w:themeColor="background1"/>
                          <w:sz w:val="28"/>
                          <w:szCs w:val="28"/>
                          <w:bdr w:val="none" w:sz="0" w:space="0" w:color="auto" w:frame="1"/>
                        </w:rPr>
                        <w:t>COMMUNIQU</w:t>
                      </w:r>
                      <w:r w:rsidR="00ED2377">
                        <w:rPr>
                          <w:rStyle w:val="lev"/>
                          <w:rFonts w:ascii="Arial Black" w:hAnsi="Arial Black" w:cstheme="majorBidi"/>
                          <w:color w:val="FFFFFF" w:themeColor="background1"/>
                          <w:sz w:val="28"/>
                          <w:szCs w:val="28"/>
                          <w:bdr w:val="none" w:sz="0" w:space="0" w:color="auto" w:frame="1"/>
                        </w:rPr>
                        <w:t>E</w:t>
                      </w:r>
                      <w:r w:rsidRPr="00430392">
                        <w:rPr>
                          <w:rStyle w:val="lev"/>
                          <w:rFonts w:ascii="Arial Black" w:hAnsi="Arial Black" w:cstheme="majorBidi"/>
                          <w:color w:val="FFFFFF" w:themeColor="background1"/>
                          <w:sz w:val="28"/>
                          <w:szCs w:val="28"/>
                          <w:bdr w:val="none" w:sz="0" w:space="0" w:color="auto" w:frame="1"/>
                        </w:rPr>
                        <w:t xml:space="preserve"> DE PRESSE</w:t>
                      </w:r>
                    </w:p>
                  </w:txbxContent>
                </v:textbox>
              </v:roundrect>
            </w:pict>
          </mc:Fallback>
        </mc:AlternateContent>
      </w:r>
    </w:p>
    <w:p w:rsidR="004443EA" w:rsidRPr="004443EA" w:rsidRDefault="00D73AC8" w:rsidP="004443EA">
      <w:pPr>
        <w:rPr>
          <w:lang w:bidi="ar-MA"/>
        </w:rPr>
      </w:pPr>
      <w:r>
        <w:rPr>
          <w:noProof/>
        </w:rPr>
        <mc:AlternateContent>
          <mc:Choice Requires="wps">
            <w:drawing>
              <wp:anchor distT="0" distB="0" distL="114300" distR="114300" simplePos="0" relativeHeight="251660288" behindDoc="0" locked="0" layoutInCell="1" allowOverlap="1" wp14:anchorId="7A4095CA" wp14:editId="1ABF52F5">
                <wp:simplePos x="0" y="0"/>
                <wp:positionH relativeFrom="column">
                  <wp:posOffset>37796</wp:posOffset>
                </wp:positionH>
                <wp:positionV relativeFrom="paragraph">
                  <wp:posOffset>88265</wp:posOffset>
                </wp:positionV>
                <wp:extent cx="6035040" cy="357505"/>
                <wp:effectExtent l="57150" t="38100" r="80010" b="99695"/>
                <wp:wrapNone/>
                <wp:docPr id="2" name="Rectangle à coins arrondis 2"/>
                <wp:cNvGraphicFramePr/>
                <a:graphic xmlns:a="http://schemas.openxmlformats.org/drawingml/2006/main">
                  <a:graphicData uri="http://schemas.microsoft.com/office/word/2010/wordprocessingShape">
                    <wps:wsp>
                      <wps:cNvSpPr/>
                      <wps:spPr>
                        <a:xfrm>
                          <a:off x="0" y="0"/>
                          <a:ext cx="6035040" cy="357505"/>
                        </a:xfrm>
                        <a:prstGeom prst="roundRect">
                          <a:avLst/>
                        </a:prstGeom>
                        <a:solidFill>
                          <a:srgbClr val="00B050"/>
                        </a:solidFill>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D4912B" id="Rectangle à coins arrondis 2" o:spid="_x0000_s1026" style="position:absolute;margin-left:3pt;margin-top:6.95pt;width:475.2pt;height:28.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" fillcolor="#00b050" strokecolor="#94b64e [3046]">
                <v:shadow on="t" color="black" opacity="24903f" origin=",.5" offset="0,.55556mm"/>
              </v:roundrect>
            </w:pict>
          </mc:Fallback>
        </mc:AlternateContent>
      </w:r>
    </w:p>
    <w:p w:rsidR="004443EA" w:rsidRPr="004443EA" w:rsidRDefault="004443EA" w:rsidP="004443EA">
      <w:pPr>
        <w:rPr>
          <w:lang w:bidi="ar-MA"/>
        </w:rPr>
      </w:pPr>
    </w:p>
    <w:p w:rsidR="004443EA" w:rsidRPr="004443EA" w:rsidRDefault="004443EA" w:rsidP="004443EA">
      <w:pPr>
        <w:rPr>
          <w:lang w:bidi="ar-MA"/>
        </w:rPr>
      </w:pPr>
    </w:p>
    <w:p w:rsidR="00DE67FC" w:rsidRDefault="00DE67FC" w:rsidP="00DE67FC">
      <w:pPr>
        <w:rPr>
          <w:lang w:bidi="ar-MA"/>
        </w:rPr>
      </w:pPr>
    </w:p>
    <w:p w:rsidR="00DE67FC" w:rsidRPr="001117DF" w:rsidRDefault="00A618AE" w:rsidP="001117DF">
      <w:pPr>
        <w:jc w:val="center"/>
        <w:rPr>
          <w:b/>
          <w:bCs/>
          <w:color w:val="943634" w:themeColor="accent2" w:themeShade="BF"/>
          <w:lang w:bidi="ar-MA"/>
        </w:rPr>
      </w:pPr>
      <w:r w:rsidRPr="001117DF">
        <w:rPr>
          <w:b/>
          <w:bCs/>
          <w:color w:val="943634" w:themeColor="accent2" w:themeShade="BF"/>
          <w:lang w:bidi="ar-MA"/>
        </w:rPr>
        <w:t>BENI MELLA</w:t>
      </w:r>
      <w:r w:rsidR="00ED2377">
        <w:rPr>
          <w:b/>
          <w:bCs/>
          <w:color w:val="943634" w:themeColor="accent2" w:themeShade="BF"/>
          <w:lang w:bidi="ar-MA"/>
        </w:rPr>
        <w:t>L</w:t>
      </w:r>
      <w:r w:rsidRPr="001117DF">
        <w:rPr>
          <w:b/>
          <w:bCs/>
          <w:color w:val="943634" w:themeColor="accent2" w:themeShade="BF"/>
          <w:lang w:bidi="ar-MA"/>
        </w:rPr>
        <w:t xml:space="preserve"> (</w:t>
      </w:r>
      <w:r w:rsidR="009667EC">
        <w:rPr>
          <w:b/>
          <w:bCs/>
          <w:color w:val="943634" w:themeColor="accent2" w:themeShade="BF"/>
          <w:lang w:bidi="ar-MA"/>
        </w:rPr>
        <w:t xml:space="preserve">CENTRE D’ACCUEIL </w:t>
      </w:r>
      <w:r w:rsidRPr="001117DF">
        <w:rPr>
          <w:b/>
          <w:bCs/>
          <w:color w:val="943634" w:themeColor="accent2" w:themeShade="BF"/>
          <w:lang w:bidi="ar-MA"/>
        </w:rPr>
        <w:t>AGROPOLE)</w:t>
      </w:r>
      <w:r w:rsidR="00ED2377">
        <w:rPr>
          <w:b/>
          <w:bCs/>
          <w:color w:val="943634" w:themeColor="accent2" w:themeShade="BF"/>
          <w:lang w:bidi="ar-MA"/>
        </w:rPr>
        <w:t xml:space="preserve"> : LE </w:t>
      </w:r>
      <w:r w:rsidRPr="001117DF">
        <w:rPr>
          <w:b/>
          <w:bCs/>
          <w:color w:val="943634" w:themeColor="accent2" w:themeShade="BF"/>
          <w:lang w:bidi="ar-MA"/>
        </w:rPr>
        <w:t>ROAD</w:t>
      </w:r>
      <w:r w:rsidR="00ED2377">
        <w:rPr>
          <w:b/>
          <w:bCs/>
          <w:color w:val="943634" w:themeColor="accent2" w:themeShade="BF"/>
          <w:lang w:bidi="ar-MA"/>
        </w:rPr>
        <w:t xml:space="preserve"> </w:t>
      </w:r>
      <w:r w:rsidRPr="001117DF">
        <w:rPr>
          <w:b/>
          <w:bCs/>
          <w:color w:val="943634" w:themeColor="accent2" w:themeShade="BF"/>
          <w:lang w:bidi="ar-MA"/>
        </w:rPr>
        <w:t xml:space="preserve">SHOW SUR L’AGREGATION AGRICOLE NOUVELLE GENERATION FAIT ESCALE </w:t>
      </w:r>
      <w:r w:rsidR="00ED2377">
        <w:rPr>
          <w:b/>
          <w:bCs/>
          <w:color w:val="943634" w:themeColor="accent2" w:themeShade="BF"/>
          <w:rtl/>
          <w:lang w:bidi="ar-MA"/>
        </w:rPr>
        <w:br/>
      </w:r>
      <w:r w:rsidRPr="001117DF">
        <w:rPr>
          <w:b/>
          <w:bCs/>
          <w:color w:val="943634" w:themeColor="accent2" w:themeShade="BF"/>
          <w:lang w:bidi="ar-MA"/>
        </w:rPr>
        <w:t>A LA REGION DU BENI MELLAL KHENIFRA</w:t>
      </w:r>
    </w:p>
    <w:p w:rsidR="004443EA" w:rsidRPr="004443EA" w:rsidRDefault="004443EA" w:rsidP="00E265EB">
      <w:pPr>
        <w:spacing w:line="360" w:lineRule="auto"/>
        <w:jc w:val="both"/>
        <w:rPr>
          <w:lang w:bidi="ar-MA"/>
        </w:rPr>
      </w:pPr>
    </w:p>
    <w:p w:rsidR="00E265EB" w:rsidRDefault="00E265EB" w:rsidP="00ED2377">
      <w:pPr>
        <w:spacing w:line="360" w:lineRule="auto"/>
        <w:jc w:val="both"/>
        <w:rPr>
          <w:lang w:bidi="ar-MA"/>
        </w:rPr>
      </w:pPr>
      <w:r>
        <w:rPr>
          <w:lang w:bidi="ar-MA"/>
        </w:rPr>
        <w:t>Dans le cadre de la déclinaison des axes de la nouvelle stratégie « Génération Green 2020-2030 » au niveau régional</w:t>
      </w:r>
      <w:r w:rsidR="00ED2377">
        <w:rPr>
          <w:lang w:bidi="ar-MA"/>
        </w:rPr>
        <w:t>,</w:t>
      </w:r>
      <w:r>
        <w:rPr>
          <w:lang w:bidi="ar-MA"/>
        </w:rPr>
        <w:t xml:space="preserve"> notamment </w:t>
      </w:r>
      <w:r w:rsidR="00ED2377">
        <w:rPr>
          <w:lang w:bidi="ar-MA"/>
        </w:rPr>
        <w:t xml:space="preserve">l’axe relatif à </w:t>
      </w:r>
      <w:r>
        <w:rPr>
          <w:lang w:bidi="ar-MA"/>
        </w:rPr>
        <w:t xml:space="preserve">l’agrégation agricole nouvelle génération, l’Agence pour le Développement Agricole (ADA) en étroite collaboration avec la Direction Régionale de l’Agriculture de Béni Mellal Khénifra a organisé le </w:t>
      </w:r>
      <w:r w:rsidR="00ED2377">
        <w:rPr>
          <w:lang w:bidi="ar-MA"/>
        </w:rPr>
        <w:t>R</w:t>
      </w:r>
      <w:r>
        <w:rPr>
          <w:lang w:bidi="ar-MA"/>
        </w:rPr>
        <w:t>oad</w:t>
      </w:r>
      <w:r w:rsidR="00ED2377">
        <w:rPr>
          <w:lang w:bidi="ar-MA"/>
        </w:rPr>
        <w:t xml:space="preserve"> S</w:t>
      </w:r>
      <w:r>
        <w:rPr>
          <w:lang w:bidi="ar-MA"/>
        </w:rPr>
        <w:t xml:space="preserve">how relatif à la région du Béni Mellal Khénifra qui s’est tenu à l’Agropole de Béni Mellal le </w:t>
      </w:r>
      <w:r w:rsidR="005938A0">
        <w:rPr>
          <w:lang w:bidi="ar-MA"/>
        </w:rPr>
        <w:t>21</w:t>
      </w:r>
      <w:r>
        <w:rPr>
          <w:lang w:bidi="ar-MA"/>
        </w:rPr>
        <w:t xml:space="preserve"> Mars 2022.</w:t>
      </w:r>
    </w:p>
    <w:p w:rsidR="00E265EB" w:rsidRDefault="00E265EB" w:rsidP="00B91A57">
      <w:pPr>
        <w:spacing w:line="360" w:lineRule="auto"/>
        <w:jc w:val="lowKashida"/>
        <w:rPr>
          <w:lang w:bidi="ar-MA"/>
        </w:rPr>
      </w:pPr>
    </w:p>
    <w:p w:rsidR="004443EA" w:rsidRDefault="00E265EB" w:rsidP="00ED2377">
      <w:pPr>
        <w:spacing w:line="360" w:lineRule="auto"/>
        <w:jc w:val="lowKashida"/>
        <w:rPr>
          <w:lang w:bidi="ar-MA"/>
        </w:rPr>
      </w:pPr>
      <w:r>
        <w:rPr>
          <w:lang w:bidi="ar-MA"/>
        </w:rPr>
        <w:t xml:space="preserve">Ce grand événement agricole, organisé au profit de plus de </w:t>
      </w:r>
      <w:r w:rsidR="00A8248C" w:rsidRPr="00A8248C">
        <w:rPr>
          <w:lang w:bidi="ar-MA"/>
        </w:rPr>
        <w:t>80</w:t>
      </w:r>
      <w:r>
        <w:rPr>
          <w:lang w:bidi="ar-MA"/>
        </w:rPr>
        <w:t xml:space="preserve"> acteurs et</w:t>
      </w:r>
      <w:r w:rsidR="00B91A57">
        <w:rPr>
          <w:lang w:bidi="ar-MA"/>
        </w:rPr>
        <w:t xml:space="preserve"> </w:t>
      </w:r>
      <w:r>
        <w:rPr>
          <w:lang w:bidi="ar-MA"/>
        </w:rPr>
        <w:t xml:space="preserve">investisseurs de la région, </w:t>
      </w:r>
      <w:r w:rsidR="00ED2377">
        <w:rPr>
          <w:lang w:bidi="ar-MA"/>
        </w:rPr>
        <w:t xml:space="preserve">était une occasion </w:t>
      </w:r>
      <w:r>
        <w:rPr>
          <w:lang w:bidi="ar-MA"/>
        </w:rPr>
        <w:t>pour dynamiser le processus de</w:t>
      </w:r>
      <w:r w:rsidR="00B91A57">
        <w:rPr>
          <w:lang w:bidi="ar-MA"/>
        </w:rPr>
        <w:t xml:space="preserve"> </w:t>
      </w:r>
      <w:r>
        <w:rPr>
          <w:lang w:bidi="ar-MA"/>
        </w:rPr>
        <w:t>mise en</w:t>
      </w:r>
      <w:r w:rsidR="00B91A57">
        <w:rPr>
          <w:lang w:bidi="ar-MA"/>
        </w:rPr>
        <w:t xml:space="preserve"> place des projets d’agrégation </w:t>
      </w:r>
      <w:r>
        <w:rPr>
          <w:lang w:bidi="ar-MA"/>
        </w:rPr>
        <w:t>nouvelle génération comme modèle</w:t>
      </w:r>
      <w:r w:rsidR="00B91A57">
        <w:rPr>
          <w:lang w:bidi="ar-MA"/>
        </w:rPr>
        <w:t xml:space="preserve"> </w:t>
      </w:r>
      <w:r>
        <w:rPr>
          <w:lang w:bidi="ar-MA"/>
        </w:rPr>
        <w:t>novateur d’organisation des agriculteurs autour d’acteurs privés ou</w:t>
      </w:r>
      <w:r w:rsidR="00B91A57">
        <w:rPr>
          <w:lang w:bidi="ar-MA"/>
        </w:rPr>
        <w:t xml:space="preserve"> </w:t>
      </w:r>
      <w:r>
        <w:rPr>
          <w:lang w:bidi="ar-MA"/>
        </w:rPr>
        <w:t>organisations professionnelles.</w:t>
      </w:r>
    </w:p>
    <w:p w:rsidR="00B91A57" w:rsidRDefault="00B91A57" w:rsidP="00B91A57">
      <w:pPr>
        <w:rPr>
          <w:lang w:bidi="ar-MA"/>
        </w:rPr>
      </w:pPr>
    </w:p>
    <w:p w:rsidR="005D0BBA" w:rsidRDefault="00E265EB" w:rsidP="00267BC0">
      <w:pPr>
        <w:spacing w:line="360" w:lineRule="auto"/>
        <w:jc w:val="both"/>
        <w:rPr>
          <w:lang w:bidi="ar-MA"/>
        </w:rPr>
      </w:pPr>
      <w:r>
        <w:rPr>
          <w:lang w:bidi="ar-MA"/>
        </w:rPr>
        <w:t xml:space="preserve">Dans ce sens, la région du </w:t>
      </w:r>
      <w:r w:rsidR="00A8248C">
        <w:rPr>
          <w:lang w:bidi="ar-MA"/>
        </w:rPr>
        <w:t>Béni Mellal Khénifra</w:t>
      </w:r>
      <w:r>
        <w:rPr>
          <w:lang w:bidi="ar-MA"/>
        </w:rPr>
        <w:t>, à fort potentiel agricole, s'est</w:t>
      </w:r>
      <w:r w:rsidR="005D0BBA">
        <w:rPr>
          <w:lang w:bidi="ar-MA"/>
        </w:rPr>
        <w:t xml:space="preserve"> </w:t>
      </w:r>
      <w:r>
        <w:rPr>
          <w:lang w:bidi="ar-MA"/>
        </w:rPr>
        <w:t xml:space="preserve">parfaitement </w:t>
      </w:r>
      <w:r w:rsidR="00ED2377">
        <w:rPr>
          <w:lang w:bidi="ar-MA"/>
        </w:rPr>
        <w:t>inscrite</w:t>
      </w:r>
      <w:r>
        <w:rPr>
          <w:lang w:bidi="ar-MA"/>
        </w:rPr>
        <w:t xml:space="preserve"> </w:t>
      </w:r>
      <w:r w:rsidR="00ED2377">
        <w:rPr>
          <w:lang w:bidi="ar-MA"/>
        </w:rPr>
        <w:t xml:space="preserve">dans cette </w:t>
      </w:r>
      <w:r>
        <w:rPr>
          <w:lang w:bidi="ar-MA"/>
        </w:rPr>
        <w:t xml:space="preserve">dynamique à travers la concrétisation de </w:t>
      </w:r>
      <w:r w:rsidR="00B4289D">
        <w:rPr>
          <w:lang w:bidi="ar-MA"/>
        </w:rPr>
        <w:t>7</w:t>
      </w:r>
      <w:r w:rsidR="005D0BBA">
        <w:rPr>
          <w:lang w:bidi="ar-MA"/>
        </w:rPr>
        <w:t xml:space="preserve"> </w:t>
      </w:r>
      <w:r>
        <w:rPr>
          <w:lang w:bidi="ar-MA"/>
        </w:rPr>
        <w:t>projets d’agrégation</w:t>
      </w:r>
      <w:r w:rsidR="00ED2377">
        <w:rPr>
          <w:lang w:bidi="ar-MA"/>
        </w:rPr>
        <w:t xml:space="preserve"> au niveau local et 6 projets inter-régions</w:t>
      </w:r>
      <w:r>
        <w:rPr>
          <w:lang w:bidi="ar-MA"/>
        </w:rPr>
        <w:t>. Les principales filières concernées</w:t>
      </w:r>
      <w:r w:rsidR="00ED2377">
        <w:rPr>
          <w:lang w:bidi="ar-MA"/>
        </w:rPr>
        <w:t xml:space="preserve"> par ces projets </w:t>
      </w:r>
      <w:r>
        <w:rPr>
          <w:lang w:bidi="ar-MA"/>
        </w:rPr>
        <w:t xml:space="preserve">sont </w:t>
      </w:r>
      <w:r w:rsidR="00805106">
        <w:rPr>
          <w:lang w:bidi="ar-MA"/>
        </w:rPr>
        <w:t>la betterave sucrière</w:t>
      </w:r>
      <w:r w:rsidR="00B546DE">
        <w:rPr>
          <w:lang w:bidi="ar-MA"/>
        </w:rPr>
        <w:t>,</w:t>
      </w:r>
      <w:r w:rsidR="00805106">
        <w:rPr>
          <w:lang w:bidi="ar-MA"/>
        </w:rPr>
        <w:t xml:space="preserve"> </w:t>
      </w:r>
      <w:r>
        <w:rPr>
          <w:lang w:bidi="ar-MA"/>
        </w:rPr>
        <w:t>les Agrumes</w:t>
      </w:r>
      <w:r w:rsidR="00805106">
        <w:rPr>
          <w:lang w:bidi="ar-MA"/>
        </w:rPr>
        <w:t>, le lait</w:t>
      </w:r>
      <w:r>
        <w:rPr>
          <w:lang w:bidi="ar-MA"/>
        </w:rPr>
        <w:t xml:space="preserve">, </w:t>
      </w:r>
      <w:r w:rsidR="00805106">
        <w:rPr>
          <w:lang w:bidi="ar-MA"/>
        </w:rPr>
        <w:t>l’</w:t>
      </w:r>
      <w:r w:rsidR="00B546DE">
        <w:rPr>
          <w:lang w:bidi="ar-MA"/>
        </w:rPr>
        <w:t>oli</w:t>
      </w:r>
      <w:r w:rsidR="00805106">
        <w:rPr>
          <w:lang w:bidi="ar-MA"/>
        </w:rPr>
        <w:t>vier</w:t>
      </w:r>
      <w:r>
        <w:rPr>
          <w:lang w:bidi="ar-MA"/>
        </w:rPr>
        <w:t>,</w:t>
      </w:r>
      <w:r w:rsidR="00805106">
        <w:rPr>
          <w:lang w:bidi="ar-MA"/>
        </w:rPr>
        <w:t xml:space="preserve"> le pommier</w:t>
      </w:r>
      <w:r w:rsidR="00AA71E4">
        <w:rPr>
          <w:lang w:bidi="ar-MA"/>
        </w:rPr>
        <w:t xml:space="preserve"> et </w:t>
      </w:r>
      <w:r w:rsidR="00805106">
        <w:rPr>
          <w:lang w:bidi="ar-MA"/>
        </w:rPr>
        <w:t>les viandes rouges</w:t>
      </w:r>
      <w:r>
        <w:rPr>
          <w:lang w:bidi="ar-MA"/>
        </w:rPr>
        <w:t xml:space="preserve">. </w:t>
      </w:r>
    </w:p>
    <w:p w:rsidR="005D0BBA" w:rsidRDefault="005D0BBA" w:rsidP="005D0BBA">
      <w:pPr>
        <w:rPr>
          <w:lang w:bidi="ar-MA"/>
        </w:rPr>
      </w:pPr>
    </w:p>
    <w:p w:rsidR="00E265EB" w:rsidRDefault="00E265EB" w:rsidP="00ED2377">
      <w:pPr>
        <w:spacing w:line="360" w:lineRule="auto"/>
        <w:jc w:val="both"/>
        <w:rPr>
          <w:lang w:bidi="ar-MA"/>
        </w:rPr>
      </w:pPr>
      <w:r>
        <w:rPr>
          <w:lang w:bidi="ar-MA"/>
        </w:rPr>
        <w:t>Actuellement, un</w:t>
      </w:r>
      <w:r w:rsidR="005D0BBA">
        <w:rPr>
          <w:lang w:bidi="ar-MA"/>
        </w:rPr>
        <w:t xml:space="preserve"> </w:t>
      </w:r>
      <w:r>
        <w:rPr>
          <w:lang w:bidi="ar-MA"/>
        </w:rPr>
        <w:t xml:space="preserve">portefeuille de </w:t>
      </w:r>
      <w:r w:rsidR="00AA71E4">
        <w:rPr>
          <w:lang w:bidi="ar-MA"/>
        </w:rPr>
        <w:t>10</w:t>
      </w:r>
      <w:r>
        <w:rPr>
          <w:lang w:bidi="ar-MA"/>
        </w:rPr>
        <w:t xml:space="preserve"> projets d’agrégation nouvelle génération est prospecté au</w:t>
      </w:r>
      <w:r w:rsidR="005D0BBA">
        <w:rPr>
          <w:lang w:bidi="ar-MA"/>
        </w:rPr>
        <w:t xml:space="preserve"> </w:t>
      </w:r>
      <w:r>
        <w:rPr>
          <w:lang w:bidi="ar-MA"/>
        </w:rPr>
        <w:t xml:space="preserve">profit de </w:t>
      </w:r>
      <w:r w:rsidR="00ED2377">
        <w:rPr>
          <w:lang w:bidi="ar-MA"/>
        </w:rPr>
        <w:t>1.400</w:t>
      </w:r>
      <w:r>
        <w:rPr>
          <w:lang w:bidi="ar-MA"/>
        </w:rPr>
        <w:t xml:space="preserve"> agrégés avec une superficie d</w:t>
      </w:r>
      <w:r w:rsidR="00ED2377">
        <w:rPr>
          <w:lang w:bidi="ar-MA"/>
        </w:rPr>
        <w:t>’environ 20.000</w:t>
      </w:r>
      <w:r w:rsidR="00053013">
        <w:rPr>
          <w:lang w:bidi="ar-MA"/>
        </w:rPr>
        <w:t xml:space="preserve"> </w:t>
      </w:r>
      <w:r w:rsidR="00ED2377">
        <w:rPr>
          <w:lang w:bidi="ar-MA"/>
        </w:rPr>
        <w:t>H</w:t>
      </w:r>
      <w:r>
        <w:rPr>
          <w:lang w:bidi="ar-MA"/>
        </w:rPr>
        <w:t>a. Ces projets vont</w:t>
      </w:r>
      <w:r w:rsidR="005D0BBA">
        <w:rPr>
          <w:lang w:bidi="ar-MA"/>
        </w:rPr>
        <w:t xml:space="preserve"> </w:t>
      </w:r>
      <w:r>
        <w:rPr>
          <w:lang w:bidi="ar-MA"/>
        </w:rPr>
        <w:t>consolider les acquis du Plan Maroc Vert et booster le nombre des projets</w:t>
      </w:r>
      <w:r w:rsidR="005D0BBA">
        <w:rPr>
          <w:lang w:bidi="ar-MA"/>
        </w:rPr>
        <w:t xml:space="preserve"> </w:t>
      </w:r>
      <w:r>
        <w:rPr>
          <w:lang w:bidi="ar-MA"/>
        </w:rPr>
        <w:t>d’agrégation.</w:t>
      </w:r>
    </w:p>
    <w:p w:rsidR="005D0BBA" w:rsidRDefault="005D0BBA" w:rsidP="005D0BBA">
      <w:pPr>
        <w:rPr>
          <w:lang w:bidi="ar-MA"/>
        </w:rPr>
      </w:pPr>
    </w:p>
    <w:p w:rsidR="00ED2377" w:rsidRDefault="00ED2377" w:rsidP="00A140B5">
      <w:pPr>
        <w:spacing w:line="360" w:lineRule="auto"/>
        <w:jc w:val="lowKashida"/>
        <w:rPr>
          <w:lang w:bidi="ar-MA"/>
        </w:rPr>
      </w:pPr>
    </w:p>
    <w:p w:rsidR="00ED2377" w:rsidRDefault="00ED2377" w:rsidP="00A140B5">
      <w:pPr>
        <w:spacing w:line="360" w:lineRule="auto"/>
        <w:jc w:val="lowKashida"/>
        <w:rPr>
          <w:lang w:bidi="ar-MA"/>
        </w:rPr>
      </w:pPr>
    </w:p>
    <w:p w:rsidR="00ED2377" w:rsidRDefault="00ED2377" w:rsidP="00A140B5">
      <w:pPr>
        <w:spacing w:line="360" w:lineRule="auto"/>
        <w:jc w:val="lowKashida"/>
        <w:rPr>
          <w:lang w:bidi="ar-MA"/>
        </w:rPr>
      </w:pPr>
    </w:p>
    <w:p w:rsidR="00E265EB" w:rsidRDefault="00ED2377" w:rsidP="00ED2377">
      <w:pPr>
        <w:spacing w:line="360" w:lineRule="auto"/>
        <w:jc w:val="lowKashida"/>
        <w:rPr>
          <w:lang w:bidi="ar-MA"/>
        </w:rPr>
      </w:pPr>
      <w:r>
        <w:rPr>
          <w:lang w:bidi="ar-MA"/>
        </w:rPr>
        <w:t>C</w:t>
      </w:r>
      <w:r w:rsidR="00E265EB">
        <w:rPr>
          <w:lang w:bidi="ar-MA"/>
        </w:rPr>
        <w:t xml:space="preserve">e road show </w:t>
      </w:r>
      <w:r>
        <w:rPr>
          <w:lang w:bidi="ar-MA"/>
        </w:rPr>
        <w:t>était</w:t>
      </w:r>
      <w:r w:rsidR="00E265EB">
        <w:rPr>
          <w:lang w:bidi="ar-MA"/>
        </w:rPr>
        <w:t xml:space="preserve"> </w:t>
      </w:r>
      <w:r>
        <w:rPr>
          <w:lang w:bidi="ar-MA"/>
        </w:rPr>
        <w:t xml:space="preserve">également </w:t>
      </w:r>
      <w:r w:rsidR="00E265EB">
        <w:rPr>
          <w:lang w:bidi="ar-MA"/>
        </w:rPr>
        <w:t>l’occasion de faire le point sur l’état des lieux de</w:t>
      </w:r>
      <w:r w:rsidR="007966E2">
        <w:rPr>
          <w:lang w:bidi="ar-MA"/>
        </w:rPr>
        <w:t xml:space="preserve"> </w:t>
      </w:r>
      <w:r w:rsidR="00E265EB">
        <w:rPr>
          <w:lang w:bidi="ar-MA"/>
        </w:rPr>
        <w:t>l’agrégation agricole et de présenter le nouveau dispositif réglementaire mis en</w:t>
      </w:r>
      <w:r w:rsidR="007966E2">
        <w:rPr>
          <w:lang w:bidi="ar-MA"/>
        </w:rPr>
        <w:t xml:space="preserve"> </w:t>
      </w:r>
      <w:r w:rsidR="00E265EB">
        <w:rPr>
          <w:lang w:bidi="ar-MA"/>
        </w:rPr>
        <w:t>place grâce aux deux nouveaux arrêtés d’application de la loi 04-12 sur</w:t>
      </w:r>
      <w:r w:rsidR="007966E2">
        <w:rPr>
          <w:lang w:bidi="ar-MA"/>
        </w:rPr>
        <w:t xml:space="preserve"> </w:t>
      </w:r>
      <w:r w:rsidR="00E265EB">
        <w:rPr>
          <w:lang w:bidi="ar-MA"/>
        </w:rPr>
        <w:t>l’agrégation agricole. En plus de l’importante simplification et assouplissement des procédures, ces décrets visent aussi la révision des critères et des normes</w:t>
      </w:r>
      <w:r w:rsidR="007966E2">
        <w:rPr>
          <w:lang w:bidi="ar-MA"/>
        </w:rPr>
        <w:t xml:space="preserve"> </w:t>
      </w:r>
      <w:r w:rsidR="00E265EB">
        <w:rPr>
          <w:lang w:bidi="ar-MA"/>
        </w:rPr>
        <w:t>d’éligibilité. Ils ont également intégré de nouveaux modèles d’agrégation et de</w:t>
      </w:r>
      <w:r w:rsidR="007966E2">
        <w:rPr>
          <w:lang w:bidi="ar-MA"/>
        </w:rPr>
        <w:t xml:space="preserve"> </w:t>
      </w:r>
      <w:r w:rsidR="00E265EB">
        <w:rPr>
          <w:lang w:bidi="ar-MA"/>
        </w:rPr>
        <w:t>nouvelles filières. Ces décrets ont ajusté la mise en place d’un taux préférentiel</w:t>
      </w:r>
      <w:r w:rsidR="007966E2">
        <w:rPr>
          <w:lang w:bidi="ar-MA"/>
        </w:rPr>
        <w:t xml:space="preserve"> </w:t>
      </w:r>
      <w:r w:rsidR="00E265EB">
        <w:rPr>
          <w:lang w:bidi="ar-MA"/>
        </w:rPr>
        <w:t>pour les subventions octroyées au matériel d’élevage au même titre que pour</w:t>
      </w:r>
      <w:r w:rsidR="007966E2">
        <w:rPr>
          <w:lang w:bidi="ar-MA"/>
        </w:rPr>
        <w:t xml:space="preserve"> </w:t>
      </w:r>
      <w:r w:rsidR="00E265EB">
        <w:rPr>
          <w:lang w:bidi="ar-MA"/>
        </w:rPr>
        <w:t>l’aménagement hydro-agricole et le matériel agricole tout en visant la</w:t>
      </w:r>
      <w:r w:rsidR="007966E2">
        <w:rPr>
          <w:lang w:bidi="ar-MA"/>
        </w:rPr>
        <w:t xml:space="preserve"> </w:t>
      </w:r>
      <w:r w:rsidR="00E265EB">
        <w:rPr>
          <w:lang w:bidi="ar-MA"/>
        </w:rPr>
        <w:t>simplification et assouplissement des procédures.</w:t>
      </w:r>
    </w:p>
    <w:p w:rsidR="007966E2" w:rsidRDefault="007966E2" w:rsidP="007966E2">
      <w:pPr>
        <w:rPr>
          <w:lang w:bidi="ar-MA"/>
        </w:rPr>
      </w:pPr>
    </w:p>
    <w:p w:rsidR="00E265EB" w:rsidRDefault="00ED2377" w:rsidP="00267BC0">
      <w:pPr>
        <w:spacing w:line="360" w:lineRule="auto"/>
        <w:jc w:val="both"/>
        <w:rPr>
          <w:lang w:bidi="ar-MA"/>
        </w:rPr>
      </w:pPr>
      <w:r>
        <w:rPr>
          <w:lang w:bidi="ar-MA"/>
        </w:rPr>
        <w:t>Il est à signaler que cet</w:t>
      </w:r>
      <w:r w:rsidR="00E265EB">
        <w:rPr>
          <w:lang w:bidi="ar-MA"/>
        </w:rPr>
        <w:t>te nouvelle génération de projets agrégation</w:t>
      </w:r>
      <w:r>
        <w:rPr>
          <w:lang w:bidi="ar-MA"/>
        </w:rPr>
        <w:t>, qui</w:t>
      </w:r>
      <w:r w:rsidR="00E265EB">
        <w:rPr>
          <w:lang w:bidi="ar-MA"/>
        </w:rPr>
        <w:t xml:space="preserve"> s’inscrit dans le cadre du</w:t>
      </w:r>
      <w:r w:rsidR="007966E2">
        <w:rPr>
          <w:lang w:bidi="ar-MA"/>
        </w:rPr>
        <w:t xml:space="preserve"> </w:t>
      </w:r>
      <w:r w:rsidR="00E265EB">
        <w:rPr>
          <w:lang w:bidi="ar-MA"/>
        </w:rPr>
        <w:t>premier fondement relatif à la priorisation de l’élément humain de la stratégie</w:t>
      </w:r>
      <w:r w:rsidR="007966E2">
        <w:rPr>
          <w:lang w:bidi="ar-MA"/>
        </w:rPr>
        <w:t xml:space="preserve"> </w:t>
      </w:r>
      <w:r w:rsidR="00E265EB">
        <w:rPr>
          <w:lang w:bidi="ar-MA"/>
        </w:rPr>
        <w:t>« Génération Green 2020-2030 » à travers notamment l’essaimage de nouveaux</w:t>
      </w:r>
      <w:r w:rsidR="007966E2">
        <w:rPr>
          <w:lang w:bidi="ar-MA"/>
        </w:rPr>
        <w:t xml:space="preserve"> </w:t>
      </w:r>
      <w:r w:rsidR="00E265EB">
        <w:rPr>
          <w:lang w:bidi="ar-MA"/>
        </w:rPr>
        <w:t>modèles d’organisation, de coopératives agricoles et d’agrégation combinant</w:t>
      </w:r>
      <w:r w:rsidR="007966E2">
        <w:rPr>
          <w:lang w:bidi="ar-MA"/>
        </w:rPr>
        <w:t xml:space="preserve"> </w:t>
      </w:r>
      <w:r w:rsidR="00E265EB">
        <w:rPr>
          <w:lang w:bidi="ar-MA"/>
        </w:rPr>
        <w:t>offre de valeur économique et sociale</w:t>
      </w:r>
      <w:r>
        <w:rPr>
          <w:lang w:bidi="ar-MA"/>
        </w:rPr>
        <w:t>,</w:t>
      </w:r>
      <w:r w:rsidR="00E265EB">
        <w:rPr>
          <w:lang w:bidi="ar-MA"/>
        </w:rPr>
        <w:t xml:space="preserve"> ambitionne de propulser vers</w:t>
      </w:r>
      <w:r w:rsidR="007966E2">
        <w:rPr>
          <w:lang w:bidi="ar-MA"/>
        </w:rPr>
        <w:t xml:space="preserve"> </w:t>
      </w:r>
      <w:r w:rsidR="00E265EB">
        <w:rPr>
          <w:lang w:bidi="ar-MA"/>
        </w:rPr>
        <w:t>l’avant des projets d’agrégation innovants qui joueront le rôle de hubs régionaux</w:t>
      </w:r>
      <w:r w:rsidR="007966E2">
        <w:rPr>
          <w:lang w:bidi="ar-MA"/>
        </w:rPr>
        <w:t xml:space="preserve"> </w:t>
      </w:r>
      <w:r w:rsidR="00E265EB">
        <w:rPr>
          <w:lang w:bidi="ar-MA"/>
        </w:rPr>
        <w:t>et nationaux pour le transfert des nouvelles technologies aux agriculteurs.</w:t>
      </w:r>
    </w:p>
    <w:p w:rsidR="00402375" w:rsidRDefault="00402375" w:rsidP="00E265EB">
      <w:pPr>
        <w:rPr>
          <w:lang w:bidi="ar-MA"/>
        </w:rPr>
      </w:pPr>
    </w:p>
    <w:p w:rsidR="00402375" w:rsidRDefault="00946097" w:rsidP="00946097">
      <w:pPr>
        <w:spacing w:line="360" w:lineRule="auto"/>
        <w:jc w:val="both"/>
        <w:rPr>
          <w:lang w:bidi="ar-MA"/>
        </w:rPr>
      </w:pPr>
      <w:r>
        <w:rPr>
          <w:lang w:bidi="ar-MA"/>
        </w:rPr>
        <w:t>Pour rappel</w:t>
      </w:r>
      <w:r w:rsidRPr="00946097">
        <w:rPr>
          <w:lang w:bidi="ar-MA"/>
        </w:rPr>
        <w:t>, l’agrégation</w:t>
      </w:r>
      <w:r w:rsidR="00402375" w:rsidRPr="00946097">
        <w:rPr>
          <w:lang w:bidi="ar-MA"/>
        </w:rPr>
        <w:t xml:space="preserve"> agricole </w:t>
      </w:r>
      <w:r w:rsidRPr="00946097">
        <w:rPr>
          <w:lang w:bidi="ar-MA"/>
        </w:rPr>
        <w:t>lancée</w:t>
      </w:r>
      <w:r w:rsidR="00402375" w:rsidRPr="00946097">
        <w:rPr>
          <w:lang w:bidi="ar-MA"/>
        </w:rPr>
        <w:t xml:space="preserve"> par le Plan Maroc Vert </w:t>
      </w:r>
      <w:r w:rsidR="00970F8A">
        <w:rPr>
          <w:lang w:bidi="ar-MA"/>
        </w:rPr>
        <w:t xml:space="preserve">et la nouvelle stratégie « Génération Green » </w:t>
      </w:r>
      <w:r w:rsidR="00402375" w:rsidRPr="00946097">
        <w:rPr>
          <w:lang w:bidi="ar-MA"/>
        </w:rPr>
        <w:t>est un modèle novateur de partenariat entre l’amont productif et l’aval commercial et industriel. Il permet d’un côté aux petits agriculteurs agrégés de tirer profit des techniques modernes de production, de financement et d’accès aux marchés intérieurs et extérieurs.</w:t>
      </w:r>
      <w:r w:rsidRPr="00946097">
        <w:rPr>
          <w:lang w:bidi="ar-MA"/>
        </w:rPr>
        <w:t xml:space="preserve"> </w:t>
      </w:r>
      <w:r>
        <w:rPr>
          <w:lang w:bidi="ar-MA"/>
        </w:rPr>
        <w:t>De l’autre côté, les agrégateurs assurent l’approvisionnement de leurs unités agro-industrielles par des produits de qualité, avec une traçabilité garantie et ce, dans le cadre d’un partenariat « Gagnant-gagnant ».</w:t>
      </w:r>
    </w:p>
    <w:p w:rsidR="00402375" w:rsidRPr="004443EA" w:rsidRDefault="00402375" w:rsidP="00E265EB">
      <w:pPr>
        <w:rPr>
          <w:lang w:bidi="ar-MA"/>
        </w:rPr>
      </w:pPr>
    </w:p>
    <w:sectPr w:rsidR="00402375" w:rsidRPr="004443EA" w:rsidSect="00440FC2">
      <w:pgSz w:w="11906" w:h="16838"/>
      <w:pgMar w:top="851" w:right="1274" w:bottom="1417" w:left="1134" w:header="708" w:footer="708" w:gutter="0"/>
      <w:pgBorders w:offsetFrom="page">
        <w:top w:val="threeDEmboss" w:sz="24" w:space="24" w:color="FF0000"/>
        <w:left w:val="threeDEmboss" w:sz="24" w:space="24" w:color="FF0000"/>
        <w:bottom w:val="threeDEngrave" w:sz="24" w:space="24" w:color="FF0000"/>
        <w:right w:val="threeDEngrave"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1B"/>
    <w:rsid w:val="00014D1C"/>
    <w:rsid w:val="00053013"/>
    <w:rsid w:val="000F79A7"/>
    <w:rsid w:val="001117DF"/>
    <w:rsid w:val="001441F0"/>
    <w:rsid w:val="002228A7"/>
    <w:rsid w:val="00241CA0"/>
    <w:rsid w:val="00267BC0"/>
    <w:rsid w:val="0029060E"/>
    <w:rsid w:val="00402375"/>
    <w:rsid w:val="00430392"/>
    <w:rsid w:val="00440FC2"/>
    <w:rsid w:val="004443EA"/>
    <w:rsid w:val="004D7A74"/>
    <w:rsid w:val="00535340"/>
    <w:rsid w:val="005518AA"/>
    <w:rsid w:val="005938A0"/>
    <w:rsid w:val="005D0BBA"/>
    <w:rsid w:val="00615BDF"/>
    <w:rsid w:val="007966E2"/>
    <w:rsid w:val="007B6851"/>
    <w:rsid w:val="007C2BFF"/>
    <w:rsid w:val="00805106"/>
    <w:rsid w:val="00852F0C"/>
    <w:rsid w:val="00932C4D"/>
    <w:rsid w:val="00946097"/>
    <w:rsid w:val="009667EC"/>
    <w:rsid w:val="00970F8A"/>
    <w:rsid w:val="00A140B5"/>
    <w:rsid w:val="00A618AE"/>
    <w:rsid w:val="00A8248C"/>
    <w:rsid w:val="00AA71E4"/>
    <w:rsid w:val="00B4289D"/>
    <w:rsid w:val="00B546DE"/>
    <w:rsid w:val="00B91A57"/>
    <w:rsid w:val="00BF061B"/>
    <w:rsid w:val="00C37617"/>
    <w:rsid w:val="00C872E3"/>
    <w:rsid w:val="00C925BE"/>
    <w:rsid w:val="00CA586E"/>
    <w:rsid w:val="00CF70F4"/>
    <w:rsid w:val="00D73AC8"/>
    <w:rsid w:val="00DD1D64"/>
    <w:rsid w:val="00DE67FC"/>
    <w:rsid w:val="00E265EB"/>
    <w:rsid w:val="00E360B8"/>
    <w:rsid w:val="00ED2377"/>
    <w:rsid w:val="00ED4574"/>
    <w:rsid w:val="00FD5D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3BA942-3106-4BF1-A19A-B882AED4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B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228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360B8"/>
    <w:rPr>
      <w:rFonts w:ascii="Tahoma" w:hAnsi="Tahoma" w:cs="Tahoma"/>
      <w:sz w:val="16"/>
      <w:szCs w:val="16"/>
    </w:rPr>
  </w:style>
  <w:style w:type="character" w:customStyle="1" w:styleId="TextedebullesCar">
    <w:name w:val="Texte de bulles Car"/>
    <w:basedOn w:val="Policepardfaut"/>
    <w:link w:val="Textedebulles"/>
    <w:uiPriority w:val="99"/>
    <w:semiHidden/>
    <w:rsid w:val="00E360B8"/>
    <w:rPr>
      <w:rFonts w:ascii="Tahoma" w:eastAsia="Times New Roman" w:hAnsi="Tahoma" w:cs="Tahoma"/>
      <w:sz w:val="16"/>
      <w:szCs w:val="16"/>
      <w:lang w:eastAsia="fr-FR"/>
    </w:rPr>
  </w:style>
  <w:style w:type="character" w:styleId="lev">
    <w:name w:val="Strong"/>
    <w:basedOn w:val="Policepardfaut"/>
    <w:uiPriority w:val="22"/>
    <w:qFormat/>
    <w:rsid w:val="004443EA"/>
    <w:rPr>
      <w:b/>
      <w:bCs/>
    </w:rPr>
  </w:style>
  <w:style w:type="paragraph" w:styleId="NormalWeb">
    <w:name w:val="Normal (Web)"/>
    <w:basedOn w:val="Normal"/>
    <w:uiPriority w:val="99"/>
    <w:semiHidden/>
    <w:unhideWhenUsed/>
    <w:rsid w:val="00402375"/>
    <w:pPr>
      <w:spacing w:before="100" w:beforeAutospacing="1" w:after="100" w:afterAutospacing="1"/>
    </w:pPr>
  </w:style>
  <w:style w:type="character" w:customStyle="1" w:styleId="Titre1Car">
    <w:name w:val="Titre 1 Car"/>
    <w:basedOn w:val="Policepardfaut"/>
    <w:link w:val="Titre1"/>
    <w:uiPriority w:val="9"/>
    <w:rsid w:val="002228A7"/>
    <w:rPr>
      <w:rFonts w:asciiTheme="majorHAnsi" w:eastAsiaTheme="majorEastAsia" w:hAnsiTheme="majorHAnsi" w:cstheme="majorBidi"/>
      <w:b/>
      <w:bCs/>
      <w:color w:val="365F91" w:themeColor="accent1" w:themeShade="BF"/>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9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3235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elfalki</dc:creator>
  <cp:lastModifiedBy>Jihane Barik</cp:lastModifiedBy>
  <cp:revision>2</cp:revision>
  <cp:lastPrinted>2022-03-17T13:38:00Z</cp:lastPrinted>
  <dcterms:created xsi:type="dcterms:W3CDTF">2022-04-05T11:14:00Z</dcterms:created>
  <dcterms:modified xsi:type="dcterms:W3CDTF">2022-04-05T11:14:00Z</dcterms:modified>
</cp:coreProperties>
</file>