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A1D" w:rsidRDefault="00305A1D" w:rsidP="00305A1D">
      <w:pPr>
        <w:tabs>
          <w:tab w:val="left" w:pos="2208"/>
        </w:tabs>
        <w:spacing w:before="240"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tab/>
      </w:r>
    </w:p>
    <w:tbl>
      <w:tblPr>
        <w:tblStyle w:val="Grilledutableau"/>
        <w:tblW w:w="10500" w:type="dxa"/>
        <w:jc w:val="center"/>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1546"/>
        <w:gridCol w:w="4072"/>
      </w:tblGrid>
      <w:tr w:rsidR="00305A1D" w:rsidTr="00305A1D">
        <w:trPr>
          <w:trHeight w:val="814"/>
          <w:jc w:val="center"/>
        </w:trPr>
        <w:tc>
          <w:tcPr>
            <w:tcW w:w="4882" w:type="dxa"/>
          </w:tcPr>
          <w:p w:rsidR="00305A1D" w:rsidRPr="001C7B73" w:rsidRDefault="00305A1D" w:rsidP="00D34F93">
            <w:pPr>
              <w:pStyle w:val="En-tte"/>
              <w:jc w:val="center"/>
              <w:rPr>
                <w:rFonts w:asciiTheme="majorBidi" w:hAnsiTheme="majorBidi" w:cstheme="majorBidi"/>
                <w:b/>
                <w:bCs/>
                <w:sz w:val="20"/>
                <w:szCs w:val="20"/>
              </w:rPr>
            </w:pPr>
            <w:r w:rsidRPr="001C7B73">
              <w:rPr>
                <w:rFonts w:asciiTheme="majorBidi" w:hAnsiTheme="majorBidi" w:cstheme="majorBidi"/>
                <w:b/>
                <w:bCs/>
                <w:sz w:val="20"/>
                <w:szCs w:val="20"/>
              </w:rPr>
              <w:t>Royaume du Maroc</w:t>
            </w:r>
          </w:p>
          <w:p w:rsidR="00305A1D" w:rsidRPr="001C7B73" w:rsidRDefault="00305A1D" w:rsidP="00D34F93">
            <w:pPr>
              <w:pStyle w:val="En-tte"/>
              <w:jc w:val="center"/>
              <w:rPr>
                <w:rFonts w:asciiTheme="majorBidi" w:hAnsiTheme="majorBidi" w:cstheme="majorBidi"/>
                <w:b/>
                <w:bCs/>
                <w:sz w:val="20"/>
                <w:szCs w:val="20"/>
                <w:rtl/>
              </w:rPr>
            </w:pPr>
            <w:r w:rsidRPr="001C7B73">
              <w:rPr>
                <w:rFonts w:asciiTheme="majorBidi" w:hAnsiTheme="majorBidi" w:cstheme="majorBidi"/>
                <w:b/>
                <w:bCs/>
                <w:sz w:val="20"/>
                <w:szCs w:val="20"/>
              </w:rPr>
              <w:t>Ministère de l’Agriculture</w:t>
            </w:r>
            <w:r>
              <w:rPr>
                <w:rFonts w:asciiTheme="majorBidi" w:hAnsiTheme="majorBidi" w:cstheme="majorBidi"/>
                <w:b/>
                <w:bCs/>
                <w:sz w:val="20"/>
                <w:szCs w:val="20"/>
              </w:rPr>
              <w:t xml:space="preserve">, </w:t>
            </w:r>
            <w:r w:rsidRPr="001C7B73">
              <w:rPr>
                <w:rFonts w:asciiTheme="majorBidi" w:hAnsiTheme="majorBidi" w:cstheme="majorBidi"/>
                <w:b/>
                <w:bCs/>
                <w:sz w:val="20"/>
                <w:szCs w:val="20"/>
              </w:rPr>
              <w:t>de la pêche Maritime</w:t>
            </w:r>
            <w:r>
              <w:rPr>
                <w:rFonts w:asciiTheme="majorBidi" w:hAnsiTheme="majorBidi" w:cstheme="majorBidi"/>
                <w:b/>
                <w:bCs/>
                <w:sz w:val="20"/>
                <w:szCs w:val="20"/>
              </w:rPr>
              <w:t>, du développement rural et des eaux et forêts</w:t>
            </w:r>
          </w:p>
          <w:p w:rsidR="00305A1D" w:rsidRPr="00977B49" w:rsidRDefault="00305A1D" w:rsidP="00D34F93">
            <w:pPr>
              <w:pStyle w:val="En-tte"/>
              <w:jc w:val="center"/>
              <w:rPr>
                <w:rFonts w:asciiTheme="majorBidi" w:hAnsiTheme="majorBidi" w:cstheme="majorBidi"/>
                <w:b/>
                <w:bCs/>
                <w:sz w:val="20"/>
                <w:szCs w:val="20"/>
              </w:rPr>
            </w:pPr>
            <w:r w:rsidRPr="001C7B73">
              <w:rPr>
                <w:rFonts w:asciiTheme="majorBidi" w:hAnsiTheme="majorBidi" w:cstheme="majorBidi"/>
                <w:b/>
                <w:bCs/>
                <w:sz w:val="20"/>
                <w:szCs w:val="20"/>
              </w:rPr>
              <w:t>Direction Régionale de l’Agriculture de Ca</w:t>
            </w:r>
            <w:r>
              <w:rPr>
                <w:rFonts w:asciiTheme="majorBidi" w:hAnsiTheme="majorBidi" w:cstheme="majorBidi"/>
                <w:b/>
                <w:bCs/>
                <w:sz w:val="20"/>
                <w:szCs w:val="20"/>
              </w:rPr>
              <w:t>sablanca-Settat</w:t>
            </w:r>
          </w:p>
        </w:tc>
        <w:tc>
          <w:tcPr>
            <w:tcW w:w="1546" w:type="dxa"/>
          </w:tcPr>
          <w:p w:rsidR="00305A1D" w:rsidRDefault="00305A1D" w:rsidP="00D34F93">
            <w:pPr>
              <w:pStyle w:val="En-tte"/>
              <w:jc w:val="center"/>
            </w:pPr>
            <w:r w:rsidRPr="00E05C59">
              <w:rPr>
                <w:noProof/>
                <w:lang w:eastAsia="fr-FR"/>
              </w:rPr>
              <w:drawing>
                <wp:inline distT="0" distB="0" distL="0" distR="0" wp14:anchorId="2B5CB47F" wp14:editId="1E854262">
                  <wp:extent cx="692150" cy="69850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92150" cy="698500"/>
                          </a:xfrm>
                          <a:prstGeom prst="rect">
                            <a:avLst/>
                          </a:prstGeom>
                          <a:noFill/>
                          <a:ln w="9525">
                            <a:noFill/>
                            <a:miter lim="800000"/>
                            <a:headEnd/>
                            <a:tailEnd/>
                          </a:ln>
                        </pic:spPr>
                      </pic:pic>
                    </a:graphicData>
                  </a:graphic>
                </wp:inline>
              </w:drawing>
            </w:r>
          </w:p>
        </w:tc>
        <w:tc>
          <w:tcPr>
            <w:tcW w:w="4072" w:type="dxa"/>
          </w:tcPr>
          <w:p w:rsidR="00305A1D" w:rsidRPr="00C8068D" w:rsidRDefault="00305A1D" w:rsidP="00D34F93">
            <w:pPr>
              <w:pStyle w:val="En-tte"/>
              <w:jc w:val="center"/>
              <w:rPr>
                <w:rFonts w:ascii="Sakkal Majalla" w:hAnsi="Sakkal Majalla" w:cs="Sakkal Majalla"/>
                <w:b/>
                <w:bCs/>
                <w:rtl/>
              </w:rPr>
            </w:pPr>
            <w:r w:rsidRPr="00C8068D">
              <w:rPr>
                <w:rFonts w:ascii="Sakkal Majalla" w:hAnsi="Sakkal Majalla" w:cs="Sakkal Majalla"/>
                <w:b/>
                <w:bCs/>
                <w:rtl/>
              </w:rPr>
              <w:t>المملكة المغربية</w:t>
            </w:r>
          </w:p>
          <w:p w:rsidR="00305A1D" w:rsidRPr="00C8068D" w:rsidRDefault="00305A1D" w:rsidP="00D34F93">
            <w:pPr>
              <w:pStyle w:val="En-tte"/>
              <w:bidi/>
              <w:jc w:val="center"/>
              <w:rPr>
                <w:rFonts w:ascii="Sakkal Majalla" w:hAnsi="Sakkal Majalla" w:cs="Sakkal Majalla"/>
                <w:b/>
                <w:bCs/>
                <w:rtl/>
                <w:lang w:bidi="ar-MA"/>
              </w:rPr>
            </w:pPr>
            <w:r w:rsidRPr="00C8068D">
              <w:rPr>
                <w:rFonts w:ascii="Sakkal Majalla" w:hAnsi="Sakkal Majalla" w:cs="Sakkal Majalla"/>
                <w:b/>
                <w:bCs/>
                <w:rtl/>
              </w:rPr>
              <w:t>وزارة الفلاحة والصيد البحري</w:t>
            </w:r>
            <w:r w:rsidRPr="00C8068D">
              <w:rPr>
                <w:rFonts w:ascii="Sakkal Majalla" w:hAnsi="Sakkal Majalla" w:cs="Sakkal Majalla"/>
                <w:b/>
                <w:bCs/>
              </w:rPr>
              <w:t> </w:t>
            </w:r>
            <w:r w:rsidRPr="00C8068D">
              <w:rPr>
                <w:rFonts w:ascii="Sakkal Majalla" w:hAnsi="Sakkal Majalla" w:cs="Sakkal Majalla" w:hint="cs"/>
                <w:b/>
                <w:bCs/>
                <w:rtl/>
                <w:lang w:bidi="ar-MA"/>
              </w:rPr>
              <w:t>والتنمية القروية والمياه والغابات</w:t>
            </w:r>
          </w:p>
          <w:p w:rsidR="00305A1D" w:rsidRPr="00C8068D" w:rsidRDefault="00305A1D" w:rsidP="00D34F93">
            <w:pPr>
              <w:pStyle w:val="En-tte"/>
              <w:bidi/>
              <w:jc w:val="center"/>
              <w:rPr>
                <w:rFonts w:ascii="Sakkal Majalla" w:hAnsi="Sakkal Majalla" w:cs="Sakkal Majalla"/>
                <w:b/>
                <w:bCs/>
              </w:rPr>
            </w:pPr>
            <w:r w:rsidRPr="00C8068D">
              <w:rPr>
                <w:rFonts w:ascii="Sakkal Majalla" w:hAnsi="Sakkal Majalla" w:cs="Sakkal Majalla"/>
                <w:b/>
                <w:bCs/>
                <w:rtl/>
              </w:rPr>
              <w:t xml:space="preserve">المديرية الجهوية للفلاحة </w:t>
            </w:r>
            <w:r w:rsidRPr="00C8068D">
              <w:rPr>
                <w:rFonts w:ascii="Sakkal Majalla" w:hAnsi="Sakkal Majalla" w:cs="Sakkal Majalla" w:hint="cs"/>
                <w:b/>
                <w:bCs/>
                <w:rtl/>
              </w:rPr>
              <w:t>الدار البيضاء-سطات</w:t>
            </w:r>
          </w:p>
        </w:tc>
      </w:tr>
    </w:tbl>
    <w:p w:rsidR="00305A1D" w:rsidRDefault="00305A1D" w:rsidP="00DD48B8">
      <w:pPr>
        <w:bidi/>
        <w:spacing w:after="0" w:line="240" w:lineRule="auto"/>
        <w:jc w:val="center"/>
        <w:rPr>
          <w:rFonts w:ascii="Times New Roman" w:eastAsia="Times New Roman" w:hAnsi="Times New Roman" w:cs="Times New Roman"/>
          <w:b/>
          <w:bCs/>
          <w:color w:val="000000"/>
          <w:sz w:val="32"/>
          <w:szCs w:val="32"/>
          <w:u w:val="single"/>
          <w:shd w:val="clear" w:color="auto" w:fill="FDFDFD"/>
          <w:rtl/>
        </w:rPr>
      </w:pPr>
    </w:p>
    <w:p w:rsidR="00DD48B8" w:rsidRPr="00C87DE1" w:rsidRDefault="00DD48B8" w:rsidP="00305A1D">
      <w:pPr>
        <w:bidi/>
        <w:spacing w:after="0" w:line="240" w:lineRule="auto"/>
        <w:jc w:val="center"/>
        <w:rPr>
          <w:rFonts w:ascii="Times New Roman" w:eastAsia="Times New Roman" w:hAnsi="Times New Roman" w:cs="Times New Roman"/>
          <w:sz w:val="24"/>
          <w:szCs w:val="24"/>
        </w:rPr>
      </w:pPr>
      <w:r w:rsidRPr="00C87DE1">
        <w:rPr>
          <w:rFonts w:ascii="Times New Roman" w:eastAsia="Times New Roman" w:hAnsi="Times New Roman" w:cs="Times New Roman"/>
          <w:b/>
          <w:bCs/>
          <w:color w:val="000000"/>
          <w:sz w:val="32"/>
          <w:szCs w:val="32"/>
          <w:u w:val="single"/>
          <w:shd w:val="clear" w:color="auto" w:fill="FDFDFD"/>
          <w:rtl/>
        </w:rPr>
        <w:t>بلاغ صحفي</w:t>
      </w:r>
    </w:p>
    <w:p w:rsidR="000E105E" w:rsidRDefault="000E105E" w:rsidP="000E105E">
      <w:pPr>
        <w:bidi/>
        <w:spacing w:after="0" w:line="240" w:lineRule="auto"/>
        <w:jc w:val="center"/>
        <w:rPr>
          <w:rFonts w:ascii="Times New Roman" w:eastAsia="Times New Roman" w:hAnsi="Times New Roman" w:cs="Times New Roman"/>
          <w:b/>
          <w:bCs/>
          <w:color w:val="000000"/>
          <w:sz w:val="32"/>
          <w:szCs w:val="32"/>
          <w:shd w:val="clear" w:color="auto" w:fill="FDFDFD"/>
        </w:rPr>
      </w:pPr>
      <w:r w:rsidRPr="000E105E">
        <w:rPr>
          <w:rFonts w:ascii="Times New Roman" w:eastAsia="Times New Roman" w:hAnsi="Times New Roman" w:cs="Times New Roman"/>
          <w:b/>
          <w:bCs/>
          <w:color w:val="000000"/>
          <w:sz w:val="32"/>
          <w:szCs w:val="32"/>
          <w:shd w:val="clear" w:color="auto" w:fill="FDFDFD"/>
          <w:rtl/>
        </w:rPr>
        <w:t>القافلة الوطنية حول التجميع الفلاحي من الجيل الجديد تحط رحالها بالدار البيضاء</w:t>
      </w:r>
    </w:p>
    <w:p w:rsidR="000E105E" w:rsidRDefault="000E105E" w:rsidP="000E105E">
      <w:pPr>
        <w:bidi/>
        <w:spacing w:after="0" w:line="240" w:lineRule="auto"/>
        <w:jc w:val="center"/>
        <w:rPr>
          <w:rFonts w:ascii="Times New Roman" w:eastAsia="Times New Roman" w:hAnsi="Times New Roman" w:cs="Times New Roman"/>
          <w:b/>
          <w:bCs/>
          <w:color w:val="000000"/>
          <w:sz w:val="32"/>
          <w:szCs w:val="32"/>
          <w:shd w:val="clear" w:color="auto" w:fill="FDFDFD"/>
        </w:rPr>
      </w:pPr>
      <w:r w:rsidRPr="000E105E">
        <w:rPr>
          <w:rFonts w:ascii="Times New Roman" w:eastAsia="Times New Roman" w:hAnsi="Times New Roman" w:cs="Times New Roman"/>
          <w:b/>
          <w:bCs/>
          <w:color w:val="000000"/>
          <w:sz w:val="32"/>
          <w:szCs w:val="32"/>
          <w:shd w:val="clear" w:color="auto" w:fill="FDFDFD"/>
          <w:rtl/>
        </w:rPr>
        <w:t>جهة الدار البيضاء سطات</w:t>
      </w:r>
      <w:r w:rsidRPr="000E105E">
        <w:rPr>
          <w:rFonts w:ascii="Times New Roman" w:eastAsia="Times New Roman" w:hAnsi="Times New Roman" w:cs="Times New Roman" w:hint="cs"/>
          <w:b/>
          <w:bCs/>
          <w:color w:val="000000"/>
          <w:sz w:val="32"/>
          <w:szCs w:val="32"/>
          <w:shd w:val="clear" w:color="auto" w:fill="FDFDFD"/>
          <w:rtl/>
        </w:rPr>
        <w:t xml:space="preserve"> </w:t>
      </w:r>
    </w:p>
    <w:p w:rsidR="00DD48B8" w:rsidRPr="00C87DE1" w:rsidRDefault="00DD48B8" w:rsidP="000E105E">
      <w:pPr>
        <w:bidi/>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b/>
          <w:bCs/>
          <w:color w:val="000000"/>
          <w:sz w:val="32"/>
          <w:szCs w:val="32"/>
          <w:shd w:val="clear" w:color="auto" w:fill="FDFDFD"/>
          <w:rtl/>
        </w:rPr>
        <w:t xml:space="preserve">الدار البيضاء بفندق </w:t>
      </w:r>
      <w:r>
        <w:rPr>
          <w:rStyle w:val="markedcontent"/>
          <w:rFonts w:ascii="Arial" w:hAnsi="Arial" w:cs="Arial"/>
          <w:sz w:val="30"/>
          <w:szCs w:val="30"/>
        </w:rPr>
        <w:t>SOFITEL</w:t>
      </w:r>
    </w:p>
    <w:p w:rsidR="00DD48B8" w:rsidRDefault="00DD48B8" w:rsidP="00DD48B8">
      <w:pPr>
        <w:spacing w:after="0" w:line="240" w:lineRule="auto"/>
        <w:rPr>
          <w:rFonts w:ascii="Times New Roman" w:eastAsia="Times New Roman" w:hAnsi="Times New Roman" w:cs="Times New Roman"/>
          <w:sz w:val="24"/>
          <w:szCs w:val="24"/>
        </w:rPr>
      </w:pPr>
    </w:p>
    <w:p w:rsidR="00DD48B8" w:rsidRPr="00DD48B8" w:rsidRDefault="00DD48B8" w:rsidP="000E105E">
      <w:pPr>
        <w:bidi/>
        <w:spacing w:before="240" w:after="240" w:line="240" w:lineRule="auto"/>
        <w:jc w:val="both"/>
        <w:rPr>
          <w:rFonts w:ascii="Times New Roman" w:eastAsia="Times New Roman" w:hAnsi="Times New Roman" w:cs="Times New Roman"/>
          <w:color w:val="000000"/>
          <w:sz w:val="28"/>
          <w:szCs w:val="28"/>
        </w:rPr>
      </w:pPr>
      <w:r w:rsidRPr="00DD48B8">
        <w:rPr>
          <w:rFonts w:ascii="Times New Roman" w:eastAsia="Times New Roman" w:hAnsi="Times New Roman" w:cs="Times New Roman" w:hint="cs"/>
          <w:color w:val="000000"/>
          <w:sz w:val="28"/>
          <w:szCs w:val="28"/>
          <w:rtl/>
        </w:rPr>
        <w:t xml:space="preserve">في اطار تنزيل محاور استراتيجية "الجيل الأخضر 2020-2030" الجديدة على المستوى الجهوي، ولا سيما "الجيل الجديد" من التجميع الفلاحي، فإن وكالة التنمية </w:t>
      </w:r>
      <w:r w:rsidR="000E105E" w:rsidRPr="000E105E">
        <w:rPr>
          <w:rFonts w:ascii="Times New Roman" w:eastAsia="Times New Roman" w:hAnsi="Times New Roman" w:cs="Times New Roman"/>
          <w:color w:val="000000"/>
          <w:sz w:val="28"/>
          <w:szCs w:val="28"/>
          <w:rtl/>
        </w:rPr>
        <w:t xml:space="preserve">الفلاحية </w:t>
      </w:r>
      <w:r w:rsidRPr="00DD48B8">
        <w:rPr>
          <w:rFonts w:ascii="Times New Roman" w:eastAsia="Times New Roman" w:hAnsi="Times New Roman" w:cs="Times New Roman" w:hint="cs"/>
          <w:color w:val="000000"/>
          <w:sz w:val="28"/>
          <w:szCs w:val="28"/>
        </w:rPr>
        <w:t>(</w:t>
      </w:r>
      <w:r w:rsidRPr="00DD48B8">
        <w:rPr>
          <w:rFonts w:ascii="Times New Roman" w:eastAsia="Times New Roman" w:hAnsi="Times New Roman" w:cs="Times New Roman"/>
          <w:color w:val="000000"/>
          <w:sz w:val="28"/>
          <w:szCs w:val="28"/>
        </w:rPr>
        <w:t xml:space="preserve">ADA) </w:t>
      </w:r>
      <w:r>
        <w:rPr>
          <w:rFonts w:ascii="Times New Roman" w:eastAsia="Times New Roman" w:hAnsi="Times New Roman" w:cs="Times New Roman" w:hint="cs"/>
          <w:color w:val="000000"/>
          <w:sz w:val="28"/>
          <w:szCs w:val="28"/>
          <w:rtl/>
        </w:rPr>
        <w:t xml:space="preserve"> و</w:t>
      </w:r>
      <w:r w:rsidRPr="00DD48B8">
        <w:rPr>
          <w:rFonts w:ascii="Times New Roman" w:eastAsia="Times New Roman" w:hAnsi="Times New Roman" w:cs="Times New Roman" w:hint="cs"/>
          <w:color w:val="000000"/>
          <w:sz w:val="28"/>
          <w:szCs w:val="28"/>
          <w:rtl/>
        </w:rPr>
        <w:t xml:space="preserve">بتعاون وثيق مع المديرية الجهوية للفلاحة </w:t>
      </w:r>
      <w:r>
        <w:rPr>
          <w:rFonts w:ascii="Times New Roman" w:eastAsia="Times New Roman" w:hAnsi="Times New Roman" w:cs="Times New Roman" w:hint="cs"/>
          <w:color w:val="000000"/>
          <w:sz w:val="28"/>
          <w:szCs w:val="28"/>
          <w:rtl/>
        </w:rPr>
        <w:t xml:space="preserve">بجهة </w:t>
      </w:r>
      <w:r w:rsidRPr="00DD48B8">
        <w:rPr>
          <w:rFonts w:ascii="Times New Roman" w:eastAsia="Times New Roman" w:hAnsi="Times New Roman" w:cs="Times New Roman" w:hint="cs"/>
          <w:color w:val="000000"/>
          <w:sz w:val="28"/>
          <w:szCs w:val="28"/>
          <w:rtl/>
        </w:rPr>
        <w:t>الدار البيضاء سطات</w:t>
      </w:r>
      <w:r>
        <w:rPr>
          <w:rFonts w:ascii="Times New Roman" w:eastAsia="Times New Roman" w:hAnsi="Times New Roman" w:cs="Times New Roman" w:hint="cs"/>
          <w:color w:val="000000"/>
          <w:sz w:val="28"/>
          <w:szCs w:val="28"/>
          <w:rtl/>
        </w:rPr>
        <w:t>،</w:t>
      </w:r>
      <w:r w:rsidRPr="00DD48B8">
        <w:rPr>
          <w:rFonts w:ascii="Times New Roman" w:eastAsia="Times New Roman" w:hAnsi="Times New Roman" w:cs="Times New Roman" w:hint="cs"/>
          <w:color w:val="000000"/>
          <w:sz w:val="28"/>
          <w:szCs w:val="28"/>
          <w:rtl/>
        </w:rPr>
        <w:t xml:space="preserve"> قامت بتنظيم لقاءا جهويا </w:t>
      </w:r>
      <w:r w:rsidRPr="00DD48B8">
        <w:rPr>
          <w:rFonts w:ascii="Times New Roman" w:eastAsia="Times New Roman" w:hAnsi="Times New Roman" w:cs="Times New Roman" w:hint="cs"/>
          <w:b/>
          <w:bCs/>
          <w:color w:val="000000"/>
          <w:sz w:val="28"/>
          <w:szCs w:val="28"/>
          <w:rtl/>
        </w:rPr>
        <w:t>يوم 20 ديسمبر 2021</w:t>
      </w:r>
      <w:r w:rsidRPr="00DD48B8">
        <w:rPr>
          <w:rFonts w:ascii="Times New Roman" w:eastAsia="Times New Roman" w:hAnsi="Times New Roman" w:cs="Times New Roman" w:hint="cs"/>
          <w:color w:val="000000"/>
          <w:sz w:val="28"/>
          <w:szCs w:val="28"/>
          <w:rtl/>
        </w:rPr>
        <w:t xml:space="preserve"> بمدينة الدار البيضاء</w:t>
      </w:r>
      <w:r w:rsidR="000E105E">
        <w:rPr>
          <w:rFonts w:ascii="Times New Roman" w:eastAsia="Times New Roman" w:hAnsi="Times New Roman" w:cs="Times New Roman"/>
          <w:color w:val="000000"/>
          <w:sz w:val="28"/>
          <w:szCs w:val="28"/>
        </w:rPr>
        <w:t xml:space="preserve"> </w:t>
      </w:r>
      <w:r w:rsidR="000E105E" w:rsidRPr="000E105E">
        <w:rPr>
          <w:rFonts w:ascii="Times New Roman" w:eastAsia="Times New Roman" w:hAnsi="Times New Roman" w:cs="Times New Roman"/>
          <w:color w:val="000000"/>
          <w:sz w:val="28"/>
          <w:szCs w:val="28"/>
          <w:rtl/>
        </w:rPr>
        <w:t>والذي يندرج في إطار القافلة الوطنية حول التجميع الفلاحي من الجيل الجديد</w:t>
      </w:r>
      <w:r w:rsidRPr="00DD48B8">
        <w:rPr>
          <w:rFonts w:ascii="Times New Roman" w:eastAsia="Times New Roman" w:hAnsi="Times New Roman" w:cs="Times New Roman" w:hint="cs"/>
          <w:color w:val="000000"/>
          <w:sz w:val="28"/>
          <w:szCs w:val="28"/>
          <w:rtl/>
        </w:rPr>
        <w:t>. والهدف الرئيسي لهذا الحدث الفلاحي الكبير هو تحسيس مختلف الفاعلين الجهويين والمتدخلين من اجل تعزيز عملية إنشاء مشاريع التجميع الفلاحي من الجيل الجديد</w:t>
      </w:r>
      <w:r w:rsidRPr="00DD48B8">
        <w:rPr>
          <w:rFonts w:ascii="Times New Roman" w:eastAsia="Times New Roman" w:hAnsi="Times New Roman" w:cs="Times New Roman" w:hint="cs"/>
          <w:color w:val="000000"/>
          <w:sz w:val="28"/>
          <w:szCs w:val="28"/>
        </w:rPr>
        <w:t xml:space="preserve">. </w:t>
      </w:r>
    </w:p>
    <w:p w:rsidR="00DD48B8" w:rsidRPr="00DD48B8" w:rsidRDefault="00DD48B8" w:rsidP="00DD48B8">
      <w:pPr>
        <w:bidi/>
        <w:spacing w:before="240" w:after="240" w:line="240" w:lineRule="auto"/>
        <w:jc w:val="both"/>
        <w:rPr>
          <w:rFonts w:ascii="Times New Roman" w:eastAsia="Times New Roman" w:hAnsi="Times New Roman" w:cs="Times New Roman"/>
          <w:color w:val="000000"/>
          <w:sz w:val="28"/>
          <w:szCs w:val="28"/>
          <w:rtl/>
        </w:rPr>
      </w:pPr>
      <w:r>
        <w:rPr>
          <w:rFonts w:ascii="Times New Roman" w:eastAsia="Times New Roman" w:hAnsi="Times New Roman" w:cs="Times New Roman" w:hint="cs"/>
          <w:color w:val="000000"/>
          <w:sz w:val="28"/>
          <w:szCs w:val="28"/>
          <w:rtl/>
        </w:rPr>
        <w:t>و</w:t>
      </w:r>
      <w:r w:rsidRPr="00DD48B8">
        <w:rPr>
          <w:rFonts w:ascii="Times New Roman" w:eastAsia="Times New Roman" w:hAnsi="Times New Roman" w:cs="Times New Roman" w:hint="cs"/>
          <w:color w:val="000000"/>
          <w:sz w:val="28"/>
          <w:szCs w:val="28"/>
          <w:rtl/>
        </w:rPr>
        <w:t>في</w:t>
      </w:r>
      <w:r w:rsidRPr="00DD48B8">
        <w:rPr>
          <w:rFonts w:ascii="Times New Roman" w:eastAsia="Times New Roman" w:hAnsi="Times New Roman" w:cs="Times New Roman"/>
          <w:color w:val="000000"/>
          <w:sz w:val="28"/>
          <w:szCs w:val="28"/>
        </w:rPr>
        <w:t xml:space="preserve"> </w:t>
      </w:r>
      <w:r w:rsidRPr="00DD48B8">
        <w:rPr>
          <w:rFonts w:ascii="Times New Roman" w:eastAsia="Times New Roman" w:hAnsi="Times New Roman" w:cs="Times New Roman" w:hint="cs"/>
          <w:color w:val="000000"/>
          <w:sz w:val="28"/>
          <w:szCs w:val="28"/>
          <w:rtl/>
        </w:rPr>
        <w:t>إطار هذه الرؤية، انخرطت جهة الدار البيضاء-سطات في الاستراتيجي</w:t>
      </w:r>
      <w:r w:rsidRPr="00DD48B8">
        <w:rPr>
          <w:rFonts w:ascii="Times New Roman" w:eastAsia="Times New Roman" w:hAnsi="Times New Roman" w:cs="Times New Roman" w:hint="eastAsia"/>
          <w:color w:val="000000"/>
          <w:sz w:val="28"/>
          <w:szCs w:val="28"/>
          <w:rtl/>
        </w:rPr>
        <w:t>ة</w:t>
      </w:r>
      <w:r w:rsidRPr="00DD48B8">
        <w:rPr>
          <w:rFonts w:ascii="Times New Roman" w:eastAsia="Times New Roman" w:hAnsi="Times New Roman" w:cs="Times New Roman" w:hint="cs"/>
          <w:color w:val="000000"/>
          <w:sz w:val="28"/>
          <w:szCs w:val="28"/>
          <w:rtl/>
        </w:rPr>
        <w:t xml:space="preserve"> الجديدة للتجميع من خلال بلورة أكثر من 16 مشروعًا للتجميع الفلاحي وتهم جميع السلاسل الفلاحية. وقد تم اعداد هذه الاستراتيجية الجديدة قصد تعزيز النتائج الإيجابية للقطاع الفلاحي المحصل عليها في إطار مخطط المغرب الأخضر، و</w:t>
      </w:r>
      <w:r>
        <w:rPr>
          <w:rFonts w:ascii="Times New Roman" w:eastAsia="Times New Roman" w:hAnsi="Times New Roman" w:cs="Times New Roman" w:hint="cs"/>
          <w:color w:val="000000"/>
          <w:sz w:val="28"/>
          <w:szCs w:val="28"/>
          <w:rtl/>
        </w:rPr>
        <w:t>كذلك الرفع</w:t>
      </w:r>
      <w:r w:rsidRPr="00DD48B8">
        <w:rPr>
          <w:rFonts w:ascii="Times New Roman" w:eastAsia="Times New Roman" w:hAnsi="Times New Roman" w:cs="Times New Roman" w:hint="cs"/>
          <w:color w:val="000000"/>
          <w:sz w:val="28"/>
          <w:szCs w:val="28"/>
          <w:rtl/>
        </w:rPr>
        <w:t xml:space="preserve"> من عدد مشاريع التجميع</w:t>
      </w:r>
      <w:r>
        <w:rPr>
          <w:rFonts w:ascii="Times New Roman" w:eastAsia="Times New Roman" w:hAnsi="Times New Roman" w:cs="Times New Roman" w:hint="cs"/>
          <w:color w:val="000000"/>
          <w:sz w:val="28"/>
          <w:szCs w:val="28"/>
          <w:rtl/>
        </w:rPr>
        <w:t xml:space="preserve"> من الجيل الجديد</w:t>
      </w:r>
      <w:r w:rsidRPr="00DD48B8">
        <w:rPr>
          <w:rFonts w:ascii="Times New Roman" w:eastAsia="Times New Roman" w:hAnsi="Times New Roman" w:cs="Times New Roman" w:hint="cs"/>
          <w:color w:val="000000"/>
          <w:sz w:val="28"/>
          <w:szCs w:val="28"/>
          <w:rtl/>
        </w:rPr>
        <w:t xml:space="preserve">. </w:t>
      </w:r>
      <w:r>
        <w:rPr>
          <w:rFonts w:ascii="Times New Roman" w:eastAsia="Times New Roman" w:hAnsi="Times New Roman" w:cs="Times New Roman" w:hint="cs"/>
          <w:color w:val="000000"/>
          <w:sz w:val="28"/>
          <w:szCs w:val="28"/>
          <w:rtl/>
        </w:rPr>
        <w:t xml:space="preserve">لان </w:t>
      </w:r>
      <w:r w:rsidRPr="00DD48B8">
        <w:rPr>
          <w:rFonts w:ascii="Times New Roman" w:eastAsia="Times New Roman" w:hAnsi="Times New Roman" w:cs="Times New Roman" w:hint="cs"/>
          <w:color w:val="000000"/>
          <w:sz w:val="28"/>
          <w:szCs w:val="28"/>
          <w:rtl/>
        </w:rPr>
        <w:t>جهة الدار البيضاء تضم أكثر من 1200 وحدة</w:t>
      </w:r>
      <w:r>
        <w:rPr>
          <w:rFonts w:ascii="Times New Roman" w:eastAsia="Times New Roman" w:hAnsi="Times New Roman" w:cs="Times New Roman" w:hint="cs"/>
          <w:color w:val="000000"/>
          <w:sz w:val="28"/>
          <w:szCs w:val="28"/>
          <w:rtl/>
        </w:rPr>
        <w:t xml:space="preserve"> صناعية التي </w:t>
      </w:r>
      <w:r w:rsidRPr="00DD48B8">
        <w:rPr>
          <w:rFonts w:ascii="Times New Roman" w:eastAsia="Times New Roman" w:hAnsi="Times New Roman" w:cs="Times New Roman" w:hint="cs"/>
          <w:color w:val="000000"/>
          <w:sz w:val="28"/>
          <w:szCs w:val="28"/>
          <w:rtl/>
        </w:rPr>
        <w:t>تثمن بالإضافة إلى الإنتاج الجهوي المنتوجات الفلاحية القادمة من الجهات الاخرى</w:t>
      </w:r>
      <w:r w:rsidRPr="00DD48B8">
        <w:rPr>
          <w:rFonts w:ascii="Times New Roman" w:eastAsia="Times New Roman" w:hAnsi="Times New Roman" w:cs="Times New Roman" w:hint="cs"/>
          <w:color w:val="000000"/>
          <w:sz w:val="28"/>
          <w:szCs w:val="28"/>
        </w:rPr>
        <w:t>.</w:t>
      </w:r>
    </w:p>
    <w:p w:rsidR="00DD48B8" w:rsidRPr="00C87DE1" w:rsidRDefault="00DD48B8" w:rsidP="00DD48B8">
      <w:pPr>
        <w:bidi/>
        <w:spacing w:before="240" w:after="240"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hint="cs"/>
          <w:color w:val="000000"/>
          <w:sz w:val="28"/>
          <w:szCs w:val="28"/>
          <w:rtl/>
        </w:rPr>
        <w:t>كما ي</w:t>
      </w:r>
      <w:r w:rsidRPr="00C87DE1">
        <w:rPr>
          <w:rFonts w:ascii="Times New Roman" w:eastAsia="Times New Roman" w:hAnsi="Times New Roman" w:cs="Times New Roman"/>
          <w:color w:val="000000"/>
          <w:sz w:val="28"/>
          <w:szCs w:val="28"/>
          <w:rtl/>
        </w:rPr>
        <w:t>شكل هذ</w:t>
      </w:r>
      <w:r>
        <w:rPr>
          <w:rFonts w:ascii="Times New Roman" w:eastAsia="Times New Roman" w:hAnsi="Times New Roman" w:cs="Times New Roman" w:hint="cs"/>
          <w:color w:val="000000"/>
          <w:sz w:val="28"/>
          <w:szCs w:val="28"/>
          <w:rtl/>
        </w:rPr>
        <w:t>ا</w:t>
      </w:r>
      <w:r w:rsidRPr="00C87DE1">
        <w:rPr>
          <w:rFonts w:ascii="Times New Roman" w:eastAsia="Times New Roman" w:hAnsi="Times New Roman" w:cs="Times New Roman"/>
          <w:color w:val="000000"/>
          <w:sz w:val="28"/>
          <w:szCs w:val="28"/>
          <w:rtl/>
        </w:rPr>
        <w:t xml:space="preserve"> اللقاء </w:t>
      </w:r>
      <w:r w:rsidRPr="00C87DE1">
        <w:rPr>
          <w:rFonts w:ascii="Times New Roman" w:eastAsia="Times New Roman" w:hAnsi="Times New Roman" w:cs="Times New Roman" w:hint="cs"/>
          <w:color w:val="000000"/>
          <w:sz w:val="28"/>
          <w:szCs w:val="28"/>
          <w:rtl/>
        </w:rPr>
        <w:t>الجهوي،</w:t>
      </w:r>
      <w:r w:rsidRPr="00C87DE1">
        <w:rPr>
          <w:rFonts w:ascii="Times New Roman" w:eastAsia="Times New Roman" w:hAnsi="Times New Roman" w:cs="Times New Roman"/>
          <w:color w:val="000000"/>
          <w:sz w:val="28"/>
          <w:szCs w:val="28"/>
          <w:rtl/>
        </w:rPr>
        <w:t xml:space="preserve"> فرصة لتقييم وضعية التجميع الفلاحي وتقديم الإطار التنظيمي الجديد </w:t>
      </w:r>
      <w:r w:rsidRPr="00C87DE1">
        <w:rPr>
          <w:rFonts w:ascii="Times New Roman" w:eastAsia="Times New Roman" w:hAnsi="Times New Roman" w:cs="Times New Roman" w:hint="cs"/>
          <w:color w:val="000000"/>
          <w:sz w:val="28"/>
          <w:szCs w:val="28"/>
          <w:rtl/>
        </w:rPr>
        <w:t>والنصين التطبيقين</w:t>
      </w:r>
      <w:r w:rsidRPr="00C87DE1">
        <w:rPr>
          <w:rFonts w:ascii="Times New Roman" w:eastAsia="Times New Roman" w:hAnsi="Times New Roman" w:cs="Times New Roman"/>
          <w:color w:val="000000"/>
          <w:sz w:val="28"/>
          <w:szCs w:val="28"/>
          <w:rtl/>
        </w:rPr>
        <w:t xml:space="preserve"> الجديدين للقانون رقم 04-</w:t>
      </w:r>
      <w:r w:rsidRPr="00C87DE1">
        <w:rPr>
          <w:rFonts w:ascii="Times New Roman" w:eastAsia="Times New Roman" w:hAnsi="Times New Roman" w:cs="Times New Roman" w:hint="cs"/>
          <w:color w:val="000000"/>
          <w:sz w:val="28"/>
          <w:szCs w:val="28"/>
          <w:rtl/>
        </w:rPr>
        <w:t>12 للتجميع</w:t>
      </w:r>
      <w:r w:rsidRPr="00C87DE1">
        <w:rPr>
          <w:rFonts w:ascii="Times New Roman" w:eastAsia="Times New Roman" w:hAnsi="Times New Roman" w:cs="Times New Roman"/>
          <w:color w:val="000000"/>
          <w:sz w:val="28"/>
          <w:szCs w:val="28"/>
          <w:rtl/>
        </w:rPr>
        <w:t xml:space="preserve"> </w:t>
      </w:r>
      <w:r w:rsidRPr="00C87DE1">
        <w:rPr>
          <w:rFonts w:ascii="Times New Roman" w:eastAsia="Times New Roman" w:hAnsi="Times New Roman" w:cs="Times New Roman" w:hint="cs"/>
          <w:color w:val="000000"/>
          <w:sz w:val="28"/>
          <w:szCs w:val="28"/>
          <w:rtl/>
        </w:rPr>
        <w:t>الفلاحي.</w:t>
      </w:r>
      <w:r w:rsidRPr="00C87DE1">
        <w:rPr>
          <w:rFonts w:ascii="Times New Roman" w:eastAsia="Times New Roman" w:hAnsi="Times New Roman" w:cs="Times New Roman"/>
          <w:color w:val="000000"/>
          <w:sz w:val="28"/>
          <w:szCs w:val="28"/>
          <w:rtl/>
        </w:rPr>
        <w:t xml:space="preserve"> ويوفر هذا الإطار تبسيطا مهما </w:t>
      </w:r>
      <w:r w:rsidRPr="00C87DE1">
        <w:rPr>
          <w:rFonts w:ascii="Times New Roman" w:eastAsia="Times New Roman" w:hAnsi="Times New Roman" w:cs="Times New Roman" w:hint="cs"/>
          <w:color w:val="000000"/>
          <w:sz w:val="28"/>
          <w:szCs w:val="28"/>
          <w:rtl/>
        </w:rPr>
        <w:t>للمساطر</w:t>
      </w:r>
      <w:r>
        <w:rPr>
          <w:rFonts w:ascii="Times New Roman" w:eastAsia="Times New Roman" w:hAnsi="Times New Roman" w:cs="Times New Roman" w:hint="cs"/>
          <w:color w:val="000000"/>
          <w:sz w:val="28"/>
          <w:szCs w:val="28"/>
          <w:rtl/>
        </w:rPr>
        <w:t xml:space="preserve"> مع </w:t>
      </w:r>
      <w:r w:rsidRPr="00C87DE1">
        <w:rPr>
          <w:rFonts w:ascii="Times New Roman" w:eastAsia="Times New Roman" w:hAnsi="Times New Roman" w:cs="Times New Roman" w:hint="cs"/>
          <w:color w:val="000000"/>
          <w:sz w:val="28"/>
          <w:szCs w:val="28"/>
          <w:rtl/>
        </w:rPr>
        <w:t>مراجعة</w:t>
      </w:r>
      <w:r w:rsidRPr="00C87DE1">
        <w:rPr>
          <w:rFonts w:ascii="Times New Roman" w:eastAsia="Times New Roman" w:hAnsi="Times New Roman" w:cs="Times New Roman"/>
          <w:color w:val="000000"/>
          <w:sz w:val="28"/>
          <w:szCs w:val="28"/>
          <w:rtl/>
        </w:rPr>
        <w:t xml:space="preserve"> لشروط ومعايير الأهلية، فضلا عن إدماج نماذج وسلاسل جديدة </w:t>
      </w:r>
      <w:r w:rsidRPr="00C87DE1">
        <w:rPr>
          <w:rFonts w:ascii="Times New Roman" w:eastAsia="Times New Roman" w:hAnsi="Times New Roman" w:cs="Times New Roman" w:hint="cs"/>
          <w:color w:val="000000"/>
          <w:sz w:val="28"/>
          <w:szCs w:val="28"/>
          <w:rtl/>
        </w:rPr>
        <w:t>للتجميع،</w:t>
      </w:r>
      <w:r w:rsidRPr="00C87DE1">
        <w:rPr>
          <w:rFonts w:ascii="Times New Roman" w:eastAsia="Times New Roman" w:hAnsi="Times New Roman" w:cs="Times New Roman"/>
          <w:color w:val="000000"/>
          <w:sz w:val="28"/>
          <w:szCs w:val="28"/>
          <w:rtl/>
        </w:rPr>
        <w:t xml:space="preserve"> ووضع نسب تفضيلية </w:t>
      </w:r>
      <w:r w:rsidRPr="00C87DE1">
        <w:rPr>
          <w:rFonts w:ascii="Times New Roman" w:eastAsia="Times New Roman" w:hAnsi="Times New Roman" w:cs="Times New Roman" w:hint="cs"/>
          <w:color w:val="000000"/>
          <w:sz w:val="28"/>
          <w:szCs w:val="28"/>
          <w:rtl/>
        </w:rPr>
        <w:t>للإعانات الممنوحة</w:t>
      </w:r>
      <w:r w:rsidRPr="00C87DE1">
        <w:rPr>
          <w:rFonts w:ascii="Times New Roman" w:eastAsia="Times New Roman" w:hAnsi="Times New Roman" w:cs="Times New Roman"/>
          <w:color w:val="000000"/>
          <w:sz w:val="28"/>
          <w:szCs w:val="28"/>
          <w:rtl/>
        </w:rPr>
        <w:t xml:space="preserve"> </w:t>
      </w:r>
      <w:r w:rsidRPr="00C87DE1">
        <w:rPr>
          <w:rFonts w:ascii="Times New Roman" w:eastAsia="Times New Roman" w:hAnsi="Times New Roman" w:cs="Times New Roman" w:hint="cs"/>
          <w:color w:val="000000"/>
          <w:sz w:val="28"/>
          <w:szCs w:val="28"/>
          <w:rtl/>
        </w:rPr>
        <w:t>لاقتناء معدات</w:t>
      </w:r>
      <w:r w:rsidRPr="00C87DE1">
        <w:rPr>
          <w:rFonts w:ascii="Times New Roman" w:eastAsia="Times New Roman" w:hAnsi="Times New Roman" w:cs="Times New Roman"/>
          <w:color w:val="000000"/>
          <w:sz w:val="28"/>
          <w:szCs w:val="28"/>
          <w:rtl/>
        </w:rPr>
        <w:t xml:space="preserve"> تربية </w:t>
      </w:r>
      <w:r w:rsidRPr="00C87DE1">
        <w:rPr>
          <w:rFonts w:ascii="Times New Roman" w:eastAsia="Times New Roman" w:hAnsi="Times New Roman" w:cs="Times New Roman" w:hint="cs"/>
          <w:color w:val="000000"/>
          <w:sz w:val="28"/>
          <w:szCs w:val="28"/>
          <w:rtl/>
        </w:rPr>
        <w:t xml:space="preserve">الماشية </w:t>
      </w:r>
      <w:r>
        <w:rPr>
          <w:rFonts w:ascii="Times New Roman" w:eastAsia="Times New Roman" w:hAnsi="Times New Roman" w:cs="Times New Roman"/>
          <w:color w:val="000000"/>
          <w:sz w:val="28"/>
          <w:szCs w:val="28"/>
          <w:rtl/>
        </w:rPr>
        <w:t>على</w:t>
      </w:r>
      <w:r w:rsidRPr="00B840E9">
        <w:rPr>
          <w:rFonts w:ascii="Times New Roman" w:eastAsia="Times New Roman" w:hAnsi="Times New Roman" w:cs="Times New Roman"/>
          <w:color w:val="000000"/>
          <w:sz w:val="28"/>
          <w:szCs w:val="28"/>
          <w:rtl/>
        </w:rPr>
        <w:t xml:space="preserve"> غرار </w:t>
      </w:r>
      <w:r w:rsidRPr="00C87DE1">
        <w:rPr>
          <w:rFonts w:ascii="Times New Roman" w:eastAsia="Times New Roman" w:hAnsi="Times New Roman" w:cs="Times New Roman"/>
          <w:color w:val="000000"/>
          <w:sz w:val="28"/>
          <w:szCs w:val="28"/>
          <w:rtl/>
        </w:rPr>
        <w:t>تجهيزات الري الفلاحي والمعدات الفلاحية.</w:t>
      </w:r>
    </w:p>
    <w:p w:rsidR="00DD48B8" w:rsidRPr="00C87DE1" w:rsidRDefault="00DD48B8" w:rsidP="00DD48B8">
      <w:pPr>
        <w:bidi/>
        <w:spacing w:before="240" w:after="240" w:line="240" w:lineRule="auto"/>
        <w:jc w:val="both"/>
        <w:rPr>
          <w:rFonts w:ascii="Times New Roman" w:eastAsia="Times New Roman" w:hAnsi="Times New Roman" w:cs="Times New Roman"/>
          <w:sz w:val="24"/>
          <w:szCs w:val="24"/>
          <w:rtl/>
        </w:rPr>
      </w:pPr>
      <w:r w:rsidRPr="00C87DE1">
        <w:rPr>
          <w:rFonts w:ascii="Times New Roman" w:eastAsia="Times New Roman" w:hAnsi="Times New Roman" w:cs="Times New Roman"/>
          <w:color w:val="000000"/>
          <w:sz w:val="28"/>
          <w:szCs w:val="28"/>
          <w:rtl/>
        </w:rPr>
        <w:t>ويندرج هذا الجيل الجديد من مشاريع التجميع ضمن المحور الأول لاستراتيجية "الجيل الأخضر 2020-2030</w:t>
      </w:r>
      <w:r>
        <w:rPr>
          <w:rFonts w:ascii="Times New Roman" w:eastAsia="Times New Roman" w:hAnsi="Times New Roman" w:cs="Times New Roman" w:hint="cs"/>
          <w:color w:val="000000"/>
          <w:sz w:val="28"/>
          <w:szCs w:val="28"/>
          <w:rtl/>
        </w:rPr>
        <w:t xml:space="preserve">" </w:t>
      </w:r>
      <w:r w:rsidRPr="00C87DE1">
        <w:rPr>
          <w:rFonts w:ascii="Times New Roman" w:eastAsia="Times New Roman" w:hAnsi="Times New Roman" w:cs="Times New Roman"/>
          <w:color w:val="000000"/>
          <w:sz w:val="28"/>
          <w:szCs w:val="28"/>
          <w:rtl/>
        </w:rPr>
        <w:t xml:space="preserve">المتعلق بإعطاء الاولوية للعنصر </w:t>
      </w:r>
      <w:r w:rsidRPr="00C87DE1">
        <w:rPr>
          <w:rFonts w:ascii="Times New Roman" w:eastAsia="Times New Roman" w:hAnsi="Times New Roman" w:cs="Times New Roman" w:hint="cs"/>
          <w:color w:val="000000"/>
          <w:sz w:val="28"/>
          <w:szCs w:val="28"/>
          <w:rtl/>
        </w:rPr>
        <w:t>البشري،</w:t>
      </w:r>
      <w:r w:rsidRPr="00C87DE1">
        <w:rPr>
          <w:rFonts w:ascii="Times New Roman" w:eastAsia="Times New Roman" w:hAnsi="Times New Roman" w:cs="Times New Roman"/>
          <w:color w:val="000000"/>
          <w:sz w:val="28"/>
          <w:szCs w:val="28"/>
          <w:rtl/>
        </w:rPr>
        <w:t xml:space="preserve"> وذلك من خلال اعتماد نماذج تنظيمية جديدة وتعاونيات فلاحية وتجميع فلاحي يجمع بين القيمة الاقتصادية والاجتماعية</w:t>
      </w:r>
      <w:r>
        <w:rPr>
          <w:rFonts w:ascii="Times New Roman" w:eastAsia="Times New Roman" w:hAnsi="Times New Roman" w:cs="Times New Roman" w:hint="cs"/>
          <w:color w:val="000000"/>
          <w:sz w:val="28"/>
          <w:szCs w:val="28"/>
          <w:rtl/>
        </w:rPr>
        <w:t>،</w:t>
      </w:r>
      <w:r w:rsidRPr="00C87DE1">
        <w:rPr>
          <w:rFonts w:ascii="Times New Roman" w:eastAsia="Times New Roman" w:hAnsi="Times New Roman" w:cs="Times New Roman"/>
          <w:color w:val="000000"/>
          <w:sz w:val="28"/>
          <w:szCs w:val="28"/>
          <w:rtl/>
        </w:rPr>
        <w:t xml:space="preserve"> كما يطمح إلى تشجيع مشاريع تجميع مبتكرة</w:t>
      </w:r>
      <w:r w:rsidRPr="00C87DE1">
        <w:rPr>
          <w:rFonts w:ascii="Times New Roman" w:eastAsia="Times New Roman" w:hAnsi="Times New Roman" w:cs="Times New Roman" w:hint="cs"/>
          <w:color w:val="000000"/>
          <w:sz w:val="28"/>
          <w:szCs w:val="28"/>
          <w:rtl/>
        </w:rPr>
        <w:t>.</w:t>
      </w:r>
      <w:r w:rsidRPr="00C87DE1">
        <w:rPr>
          <w:rFonts w:ascii="Times New Roman" w:eastAsia="Times New Roman" w:hAnsi="Times New Roman" w:cs="Times New Roman"/>
          <w:sz w:val="24"/>
          <w:szCs w:val="24"/>
          <w:rtl/>
        </w:rPr>
        <w:t> </w:t>
      </w:r>
    </w:p>
    <w:p w:rsidR="00DD48B8" w:rsidRPr="00C87DE1" w:rsidRDefault="00DD48B8" w:rsidP="00DD48B8">
      <w:pPr>
        <w:shd w:val="clear" w:color="auto" w:fill="FFFFFF"/>
        <w:bidi/>
        <w:spacing w:after="0" w:line="240" w:lineRule="auto"/>
        <w:jc w:val="both"/>
        <w:rPr>
          <w:rFonts w:ascii="Times New Roman" w:eastAsia="Times New Roman" w:hAnsi="Times New Roman" w:cs="Times New Roman"/>
          <w:color w:val="000000"/>
          <w:sz w:val="28"/>
          <w:szCs w:val="28"/>
          <w:rtl/>
        </w:rPr>
      </w:pPr>
      <w:r w:rsidRPr="00C87DE1">
        <w:rPr>
          <w:rFonts w:ascii="Times New Roman" w:eastAsia="Times New Roman" w:hAnsi="Times New Roman" w:cs="Times New Roman"/>
          <w:color w:val="000000"/>
          <w:sz w:val="28"/>
          <w:szCs w:val="28"/>
          <w:rtl/>
        </w:rPr>
        <w:t>يدخل</w:t>
      </w:r>
      <w:r>
        <w:rPr>
          <w:rFonts w:ascii="Times New Roman" w:eastAsia="Times New Roman" w:hAnsi="Times New Roman" w:cs="Times New Roman" w:hint="cs"/>
          <w:color w:val="000000"/>
          <w:sz w:val="28"/>
          <w:szCs w:val="28"/>
          <w:rtl/>
        </w:rPr>
        <w:t xml:space="preserve"> </w:t>
      </w:r>
      <w:r w:rsidRPr="00C87DE1">
        <w:rPr>
          <w:rFonts w:ascii="Times New Roman" w:eastAsia="Times New Roman" w:hAnsi="Times New Roman" w:cs="Times New Roman"/>
          <w:color w:val="000000"/>
          <w:sz w:val="28"/>
          <w:szCs w:val="28"/>
          <w:rtl/>
        </w:rPr>
        <w:t xml:space="preserve">تشجيع التجميع الفلاحي ضمن التدابير المتخذة لتطوير وتحديث الفلاحة الوطنية. </w:t>
      </w:r>
      <w:r>
        <w:rPr>
          <w:rFonts w:ascii="Times New Roman" w:eastAsia="Times New Roman" w:hAnsi="Times New Roman" w:cs="Times New Roman" w:hint="cs"/>
          <w:color w:val="000000"/>
          <w:sz w:val="28"/>
          <w:szCs w:val="28"/>
          <w:rtl/>
        </w:rPr>
        <w:t>و</w:t>
      </w:r>
      <w:r w:rsidRPr="00E964E5">
        <w:rPr>
          <w:rFonts w:ascii="Times New Roman" w:eastAsia="Times New Roman" w:hAnsi="Times New Roman" w:cs="Times New Roman"/>
          <w:color w:val="000000"/>
          <w:sz w:val="28"/>
          <w:szCs w:val="28"/>
          <w:rtl/>
        </w:rPr>
        <w:t>ستلعب</w:t>
      </w:r>
      <w:r w:rsidRPr="00C87DE1">
        <w:rPr>
          <w:rFonts w:ascii="Times New Roman" w:eastAsia="Times New Roman" w:hAnsi="Times New Roman" w:cs="Times New Roman"/>
          <w:color w:val="000000"/>
          <w:sz w:val="28"/>
          <w:szCs w:val="28"/>
          <w:rtl/>
        </w:rPr>
        <w:t xml:space="preserve"> مشاريع التجميع الفلاحي </w:t>
      </w:r>
      <w:r>
        <w:rPr>
          <w:rFonts w:ascii="Times New Roman" w:eastAsia="Times New Roman" w:hAnsi="Times New Roman" w:cs="Times New Roman" w:hint="cs"/>
          <w:color w:val="000000"/>
          <w:sz w:val="28"/>
          <w:szCs w:val="28"/>
          <w:rtl/>
        </w:rPr>
        <w:t>من ال</w:t>
      </w:r>
      <w:r w:rsidRPr="00C87DE1">
        <w:rPr>
          <w:rFonts w:ascii="Times New Roman" w:eastAsia="Times New Roman" w:hAnsi="Times New Roman" w:cs="Times New Roman"/>
          <w:color w:val="000000"/>
          <w:sz w:val="28"/>
          <w:szCs w:val="28"/>
          <w:rtl/>
        </w:rPr>
        <w:t xml:space="preserve">جيل </w:t>
      </w:r>
      <w:r>
        <w:rPr>
          <w:rFonts w:ascii="Times New Roman" w:eastAsia="Times New Roman" w:hAnsi="Times New Roman" w:cs="Times New Roman" w:hint="cs"/>
          <w:color w:val="000000"/>
          <w:sz w:val="28"/>
          <w:szCs w:val="28"/>
          <w:rtl/>
        </w:rPr>
        <w:t>ال</w:t>
      </w:r>
      <w:r w:rsidRPr="00C87DE1">
        <w:rPr>
          <w:rFonts w:ascii="Times New Roman" w:eastAsia="Times New Roman" w:hAnsi="Times New Roman" w:cs="Times New Roman"/>
          <w:color w:val="000000"/>
          <w:sz w:val="28"/>
          <w:szCs w:val="28"/>
          <w:rtl/>
        </w:rPr>
        <w:t xml:space="preserve">جديد </w:t>
      </w:r>
      <w:r w:rsidRPr="00E964E5">
        <w:rPr>
          <w:rFonts w:ascii="Times New Roman" w:eastAsia="Times New Roman" w:hAnsi="Times New Roman" w:cs="Times New Roman"/>
          <w:color w:val="000000"/>
          <w:sz w:val="28"/>
          <w:szCs w:val="28"/>
          <w:rtl/>
        </w:rPr>
        <w:t>دور المحاور الجهوية والوطنية لتلقين التقنيات الجديدة للفلاحين</w:t>
      </w:r>
      <w:r w:rsidRPr="00C87DE1">
        <w:rPr>
          <w:rFonts w:ascii="Times New Roman" w:eastAsia="Times New Roman" w:hAnsi="Times New Roman" w:cs="Times New Roman"/>
          <w:color w:val="000000"/>
          <w:sz w:val="28"/>
          <w:szCs w:val="28"/>
          <w:rtl/>
        </w:rPr>
        <w:t>.</w:t>
      </w:r>
    </w:p>
    <w:p w:rsidR="00DD48B8" w:rsidRDefault="00DD48B8" w:rsidP="00DD48B8">
      <w:pPr>
        <w:shd w:val="clear" w:color="auto" w:fill="FFFFFF"/>
        <w:bidi/>
        <w:spacing w:after="0" w:line="240" w:lineRule="auto"/>
        <w:jc w:val="both"/>
        <w:rPr>
          <w:rFonts w:ascii="Times New Roman" w:eastAsia="Times New Roman" w:hAnsi="Times New Roman" w:cs="Times New Roman"/>
          <w:color w:val="000000"/>
          <w:sz w:val="28"/>
          <w:szCs w:val="28"/>
          <w:rtl/>
        </w:rPr>
      </w:pPr>
    </w:p>
    <w:p w:rsidR="00DD48B8" w:rsidRPr="00C87DE1" w:rsidRDefault="00DD48B8" w:rsidP="00DD48B8">
      <w:pPr>
        <w:shd w:val="clear" w:color="auto" w:fill="FFFFFF"/>
        <w:bidi/>
        <w:spacing w:after="0" w:line="240" w:lineRule="auto"/>
        <w:jc w:val="both"/>
        <w:rPr>
          <w:rFonts w:ascii="Times New Roman" w:eastAsia="Times New Roman" w:hAnsi="Times New Roman" w:cs="Times New Roman"/>
          <w:sz w:val="24"/>
          <w:szCs w:val="24"/>
          <w:rtl/>
        </w:rPr>
      </w:pPr>
      <w:r w:rsidRPr="00C87DE1">
        <w:rPr>
          <w:rFonts w:ascii="Times New Roman" w:eastAsia="Times New Roman" w:hAnsi="Times New Roman" w:cs="Times New Roman"/>
          <w:color w:val="000000"/>
          <w:sz w:val="28"/>
          <w:szCs w:val="28"/>
          <w:rtl/>
        </w:rPr>
        <w:t xml:space="preserve">وحضر هذا الحدث </w:t>
      </w:r>
      <w:r w:rsidR="00311864">
        <w:rPr>
          <w:rFonts w:ascii="Times New Roman" w:eastAsia="Times New Roman" w:hAnsi="Times New Roman" w:cs="Times New Roman" w:hint="cs"/>
          <w:color w:val="000000"/>
          <w:sz w:val="28"/>
          <w:szCs w:val="28"/>
          <w:rtl/>
        </w:rPr>
        <w:t>أكثر</w:t>
      </w:r>
      <w:r>
        <w:rPr>
          <w:rFonts w:ascii="Times New Roman" w:eastAsia="Times New Roman" w:hAnsi="Times New Roman" w:cs="Times New Roman" w:hint="cs"/>
          <w:color w:val="000000"/>
          <w:sz w:val="28"/>
          <w:szCs w:val="28"/>
          <w:rtl/>
        </w:rPr>
        <w:t xml:space="preserve"> من</w:t>
      </w:r>
      <w:r w:rsidRPr="00C87DE1">
        <w:rPr>
          <w:rFonts w:ascii="Times New Roman" w:eastAsia="Times New Roman" w:hAnsi="Times New Roman" w:cs="Times New Roman"/>
          <w:color w:val="000000"/>
          <w:sz w:val="28"/>
          <w:szCs w:val="28"/>
          <w:rtl/>
        </w:rPr>
        <w:t xml:space="preserve"> </w:t>
      </w:r>
      <w:r>
        <w:rPr>
          <w:rFonts w:ascii="Times New Roman" w:eastAsia="Times New Roman" w:hAnsi="Times New Roman" w:cs="Times New Roman" w:hint="cs"/>
          <w:color w:val="000000"/>
          <w:sz w:val="28"/>
          <w:szCs w:val="28"/>
          <w:rtl/>
        </w:rPr>
        <w:t>100</w:t>
      </w:r>
      <w:r w:rsidRPr="00C87DE1">
        <w:rPr>
          <w:rFonts w:ascii="Times New Roman" w:eastAsia="Times New Roman" w:hAnsi="Times New Roman" w:cs="Times New Roman"/>
          <w:color w:val="000000"/>
          <w:sz w:val="28"/>
          <w:szCs w:val="28"/>
          <w:rtl/>
        </w:rPr>
        <w:t xml:space="preserve"> مشاركا، من بينهم </w:t>
      </w:r>
      <w:r w:rsidRPr="00C87DE1">
        <w:rPr>
          <w:rFonts w:ascii="Times New Roman" w:eastAsia="Times New Roman" w:hAnsi="Times New Roman" w:cs="Times New Roman" w:hint="cs"/>
          <w:color w:val="000000"/>
          <w:sz w:val="28"/>
          <w:szCs w:val="28"/>
          <w:rtl/>
        </w:rPr>
        <w:t>مجمعين</w:t>
      </w:r>
      <w:r>
        <w:rPr>
          <w:rFonts w:ascii="Times New Roman" w:eastAsia="Times New Roman" w:hAnsi="Times New Roman" w:cs="Times New Roman"/>
          <w:color w:val="000000"/>
          <w:sz w:val="28"/>
          <w:szCs w:val="28"/>
          <w:rtl/>
        </w:rPr>
        <w:t xml:space="preserve"> ومستثمر</w:t>
      </w:r>
      <w:r>
        <w:rPr>
          <w:rFonts w:ascii="Times New Roman" w:eastAsia="Times New Roman" w:hAnsi="Times New Roman" w:cs="Times New Roman" w:hint="cs"/>
          <w:color w:val="000000"/>
          <w:sz w:val="28"/>
          <w:szCs w:val="28"/>
          <w:rtl/>
        </w:rPr>
        <w:t>ي</w:t>
      </w:r>
      <w:r w:rsidRPr="00C87DE1">
        <w:rPr>
          <w:rFonts w:ascii="Times New Roman" w:eastAsia="Times New Roman" w:hAnsi="Times New Roman" w:cs="Times New Roman"/>
          <w:color w:val="000000"/>
          <w:sz w:val="28"/>
          <w:szCs w:val="28"/>
          <w:rtl/>
        </w:rPr>
        <w:t>ن في القطاع ا</w:t>
      </w:r>
      <w:r>
        <w:rPr>
          <w:rFonts w:ascii="Times New Roman" w:eastAsia="Times New Roman" w:hAnsi="Times New Roman" w:cs="Times New Roman"/>
          <w:color w:val="000000"/>
          <w:sz w:val="28"/>
          <w:szCs w:val="28"/>
          <w:rtl/>
        </w:rPr>
        <w:t>لفلاحي والصناع</w:t>
      </w:r>
      <w:r>
        <w:rPr>
          <w:rFonts w:ascii="Times New Roman" w:eastAsia="Times New Roman" w:hAnsi="Times New Roman" w:cs="Times New Roman" w:hint="cs"/>
          <w:color w:val="000000"/>
          <w:sz w:val="28"/>
          <w:szCs w:val="28"/>
          <w:rtl/>
        </w:rPr>
        <w:t>ات</w:t>
      </w:r>
      <w:r>
        <w:rPr>
          <w:rFonts w:ascii="Times New Roman" w:eastAsia="Times New Roman" w:hAnsi="Times New Roman" w:cs="Times New Roman"/>
          <w:color w:val="000000"/>
          <w:sz w:val="28"/>
          <w:szCs w:val="28"/>
          <w:rtl/>
        </w:rPr>
        <w:t xml:space="preserve"> الغذائية</w:t>
      </w:r>
      <w:r>
        <w:rPr>
          <w:rFonts w:ascii="Times New Roman" w:eastAsia="Times New Roman" w:hAnsi="Times New Roman" w:cs="Times New Roman" w:hint="cs"/>
          <w:color w:val="000000"/>
          <w:sz w:val="28"/>
          <w:szCs w:val="28"/>
          <w:rtl/>
        </w:rPr>
        <w:t xml:space="preserve"> </w:t>
      </w:r>
      <w:r>
        <w:rPr>
          <w:rFonts w:ascii="Times New Roman" w:eastAsia="Times New Roman" w:hAnsi="Times New Roman" w:cs="Times New Roman"/>
          <w:color w:val="000000"/>
          <w:sz w:val="28"/>
          <w:szCs w:val="28"/>
          <w:rtl/>
        </w:rPr>
        <w:t>ومهني</w:t>
      </w:r>
      <w:r>
        <w:rPr>
          <w:rFonts w:ascii="Times New Roman" w:eastAsia="Times New Roman" w:hAnsi="Times New Roman" w:cs="Times New Roman" w:hint="cs"/>
          <w:color w:val="000000"/>
          <w:sz w:val="28"/>
          <w:szCs w:val="28"/>
          <w:rtl/>
        </w:rPr>
        <w:t>ي</w:t>
      </w:r>
      <w:r w:rsidRPr="00C87DE1">
        <w:rPr>
          <w:rFonts w:ascii="Times New Roman" w:eastAsia="Times New Roman" w:hAnsi="Times New Roman" w:cs="Times New Roman"/>
          <w:color w:val="000000"/>
          <w:sz w:val="28"/>
          <w:szCs w:val="28"/>
          <w:rtl/>
        </w:rPr>
        <w:t>ن و</w:t>
      </w:r>
      <w:r>
        <w:rPr>
          <w:rFonts w:ascii="Times New Roman" w:eastAsia="Times New Roman" w:hAnsi="Times New Roman" w:cs="Times New Roman" w:hint="cs"/>
          <w:color w:val="000000"/>
          <w:sz w:val="28"/>
          <w:szCs w:val="28"/>
          <w:rtl/>
        </w:rPr>
        <w:t>الغرفة الفلاحية لجهة الدار البيضاء سطات</w:t>
      </w:r>
      <w:r w:rsidRPr="00C87DE1">
        <w:rPr>
          <w:rFonts w:ascii="Times New Roman" w:eastAsia="Times New Roman" w:hAnsi="Times New Roman" w:cs="Times New Roman"/>
          <w:color w:val="000000"/>
          <w:sz w:val="28"/>
          <w:szCs w:val="28"/>
          <w:rtl/>
        </w:rPr>
        <w:t xml:space="preserve">، فضلا عن عدد من </w:t>
      </w:r>
      <w:r>
        <w:rPr>
          <w:rFonts w:ascii="Times New Roman" w:eastAsia="Times New Roman" w:hAnsi="Times New Roman" w:cs="Times New Roman" w:hint="cs"/>
          <w:color w:val="000000"/>
          <w:sz w:val="28"/>
          <w:szCs w:val="28"/>
          <w:rtl/>
        </w:rPr>
        <w:t>ال</w:t>
      </w:r>
      <w:r w:rsidRPr="00C87DE1">
        <w:rPr>
          <w:rFonts w:ascii="Times New Roman" w:eastAsia="Times New Roman" w:hAnsi="Times New Roman" w:cs="Times New Roman" w:hint="cs"/>
          <w:color w:val="000000"/>
          <w:sz w:val="28"/>
          <w:szCs w:val="28"/>
          <w:rtl/>
        </w:rPr>
        <w:t>مسؤولي</w:t>
      </w:r>
      <w:r>
        <w:rPr>
          <w:rFonts w:ascii="Times New Roman" w:eastAsia="Times New Roman" w:hAnsi="Times New Roman" w:cs="Times New Roman" w:hint="cs"/>
          <w:color w:val="000000"/>
          <w:sz w:val="28"/>
          <w:szCs w:val="28"/>
          <w:rtl/>
        </w:rPr>
        <w:t>ن الجهويين</w:t>
      </w:r>
      <w:r w:rsidRPr="00C87DE1">
        <w:rPr>
          <w:rFonts w:ascii="Times New Roman" w:eastAsia="Times New Roman" w:hAnsi="Times New Roman" w:cs="Times New Roman"/>
          <w:color w:val="000000"/>
          <w:sz w:val="28"/>
          <w:szCs w:val="28"/>
          <w:rtl/>
        </w:rPr>
        <w:t>.</w:t>
      </w:r>
    </w:p>
    <w:p w:rsidR="00DD48B8" w:rsidRPr="00C87DE1" w:rsidRDefault="00DD48B8" w:rsidP="007A1635">
      <w:pPr>
        <w:bidi/>
        <w:spacing w:before="240" w:after="240" w:line="240" w:lineRule="auto"/>
        <w:jc w:val="both"/>
        <w:rPr>
          <w:rFonts w:ascii="Times New Roman" w:eastAsia="Times New Roman" w:hAnsi="Times New Roman" w:cs="Times New Roman"/>
          <w:sz w:val="28"/>
          <w:szCs w:val="28"/>
        </w:rPr>
      </w:pPr>
      <w:r w:rsidRPr="00C87DE1">
        <w:rPr>
          <w:rFonts w:ascii="Times New Roman" w:eastAsia="Times New Roman" w:hAnsi="Times New Roman" w:cs="Times New Roman"/>
          <w:sz w:val="24"/>
          <w:szCs w:val="24"/>
        </w:rPr>
        <w:t> </w:t>
      </w:r>
      <w:r w:rsidRPr="00C87DE1">
        <w:rPr>
          <w:rFonts w:ascii="Times New Roman" w:eastAsia="Times New Roman" w:hAnsi="Times New Roman" w:cs="Times New Roman"/>
          <w:color w:val="000000"/>
          <w:sz w:val="28"/>
          <w:szCs w:val="28"/>
          <w:rtl/>
        </w:rPr>
        <w:t>وللتذكير، فإن التجميع الفلاحي الذي تبناه مخطط المغرب الأخضر هو نموذج مبتكر للشراكة بين عالية</w:t>
      </w:r>
      <w:r w:rsidRPr="00B840E9">
        <w:rPr>
          <w:rFonts w:cs="Times New Roman"/>
          <w:rtl/>
        </w:rPr>
        <w:t xml:space="preserve"> </w:t>
      </w:r>
      <w:r w:rsidRPr="00B840E9">
        <w:rPr>
          <w:rFonts w:ascii="Times New Roman" w:eastAsia="Times New Roman" w:hAnsi="Times New Roman" w:cs="Times New Roman"/>
          <w:color w:val="000000"/>
          <w:sz w:val="28"/>
          <w:szCs w:val="28"/>
          <w:rtl/>
        </w:rPr>
        <w:t>وسافلة</w:t>
      </w:r>
      <w:r w:rsidRPr="00C87DE1">
        <w:rPr>
          <w:rFonts w:ascii="Times New Roman" w:eastAsia="Times New Roman" w:hAnsi="Times New Roman" w:cs="Times New Roman"/>
          <w:color w:val="000000"/>
          <w:sz w:val="28"/>
          <w:szCs w:val="28"/>
          <w:rtl/>
        </w:rPr>
        <w:t xml:space="preserve"> </w:t>
      </w:r>
      <w:r w:rsidRPr="00C87DE1">
        <w:rPr>
          <w:rFonts w:ascii="Times New Roman" w:eastAsia="Times New Roman" w:hAnsi="Times New Roman" w:cs="Times New Roman" w:hint="cs"/>
          <w:color w:val="000000"/>
          <w:sz w:val="28"/>
          <w:szCs w:val="28"/>
          <w:rtl/>
        </w:rPr>
        <w:t>الإنتاج</w:t>
      </w:r>
      <w:r w:rsidRPr="00C87DE1">
        <w:rPr>
          <w:rFonts w:ascii="Times New Roman" w:eastAsia="Times New Roman" w:hAnsi="Times New Roman" w:cs="Times New Roman"/>
          <w:color w:val="000000"/>
          <w:sz w:val="28"/>
          <w:szCs w:val="28"/>
          <w:rtl/>
        </w:rPr>
        <w:t xml:space="preserve">. وتمكن الفلاحين </w:t>
      </w:r>
      <w:r w:rsidRPr="00B840E9">
        <w:rPr>
          <w:rFonts w:ascii="Times New Roman" w:eastAsia="Times New Roman" w:hAnsi="Times New Roman" w:cs="Times New Roman"/>
          <w:color w:val="000000"/>
          <w:sz w:val="28"/>
          <w:szCs w:val="28"/>
          <w:rtl/>
        </w:rPr>
        <w:t xml:space="preserve">المجمَّعين </w:t>
      </w:r>
      <w:r w:rsidRPr="00C87DE1">
        <w:rPr>
          <w:rFonts w:ascii="Times New Roman" w:eastAsia="Times New Roman" w:hAnsi="Times New Roman" w:cs="Times New Roman"/>
          <w:color w:val="000000"/>
          <w:sz w:val="28"/>
          <w:szCs w:val="28"/>
          <w:rtl/>
        </w:rPr>
        <w:t xml:space="preserve">من الاستفادة من تقنيات الإنتاج الحديثة ومن التمويل وكذا الولوج إلى الأسواق الداخلية </w:t>
      </w:r>
      <w:r w:rsidRPr="00C87DE1">
        <w:rPr>
          <w:rFonts w:ascii="Times New Roman" w:eastAsia="Times New Roman" w:hAnsi="Times New Roman" w:cs="Times New Roman" w:hint="cs"/>
          <w:color w:val="000000"/>
          <w:sz w:val="28"/>
          <w:szCs w:val="28"/>
          <w:rtl/>
        </w:rPr>
        <w:t>والخارجية. وم</w:t>
      </w:r>
      <w:r w:rsidRPr="00C87DE1">
        <w:rPr>
          <w:rFonts w:ascii="Times New Roman" w:eastAsia="Times New Roman" w:hAnsi="Times New Roman" w:cs="Times New Roman" w:hint="eastAsia"/>
          <w:color w:val="000000"/>
          <w:sz w:val="28"/>
          <w:szCs w:val="28"/>
          <w:rtl/>
        </w:rPr>
        <w:t>ن</w:t>
      </w:r>
      <w:r w:rsidRPr="00C87DE1">
        <w:rPr>
          <w:rFonts w:ascii="Times New Roman" w:eastAsia="Times New Roman" w:hAnsi="Times New Roman" w:cs="Times New Roman"/>
          <w:color w:val="000000"/>
          <w:sz w:val="28"/>
          <w:szCs w:val="28"/>
          <w:rtl/>
        </w:rPr>
        <w:t xml:space="preserve"> جهتهم، فإن المجمِّعين يضمنون تموين الوحدات الصناعية الفلاحية بمنتجات ذات جودة عالية ومضمونة المسار وكل ذلك في إطار شراكة مربحة لكلا الطرفين. </w:t>
      </w:r>
      <w:bookmarkStart w:id="0" w:name="_GoBack"/>
      <w:bookmarkEnd w:id="0"/>
    </w:p>
    <w:p w:rsidR="007674D8" w:rsidRDefault="007674D8"/>
    <w:sectPr w:rsidR="007674D8" w:rsidSect="00B43B87">
      <w:footerReference w:type="default" r:id="rId7"/>
      <w:pgSz w:w="11906" w:h="16838"/>
      <w:pgMar w:top="0" w:right="1417" w:bottom="1417" w:left="1418" w:header="708" w:footer="2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0B5" w:rsidRDefault="00E200B5">
      <w:pPr>
        <w:spacing w:after="0" w:line="240" w:lineRule="auto"/>
      </w:pPr>
      <w:r>
        <w:separator/>
      </w:r>
    </w:p>
  </w:endnote>
  <w:endnote w:type="continuationSeparator" w:id="0">
    <w:p w:rsidR="00E200B5" w:rsidRDefault="00E20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E4D" w:rsidRDefault="00DD48B8">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E105E">
      <w:rPr>
        <w:noProof/>
        <w:color w:val="000000"/>
      </w:rPr>
      <w:t>2</w:t>
    </w:r>
    <w:r>
      <w:rPr>
        <w:color w:val="000000"/>
      </w:rPr>
      <w:fldChar w:fldCharType="end"/>
    </w:r>
  </w:p>
  <w:p w:rsidR="00401E4D" w:rsidRDefault="00E200B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0B5" w:rsidRDefault="00E200B5">
      <w:pPr>
        <w:spacing w:after="0" w:line="240" w:lineRule="auto"/>
      </w:pPr>
      <w:r>
        <w:separator/>
      </w:r>
    </w:p>
  </w:footnote>
  <w:footnote w:type="continuationSeparator" w:id="0">
    <w:p w:rsidR="00E200B5" w:rsidRDefault="00E200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B8"/>
    <w:rsid w:val="00047EE8"/>
    <w:rsid w:val="000E105E"/>
    <w:rsid w:val="002671FB"/>
    <w:rsid w:val="00305A1D"/>
    <w:rsid w:val="00311864"/>
    <w:rsid w:val="004A0AD2"/>
    <w:rsid w:val="00645A8E"/>
    <w:rsid w:val="006E1A20"/>
    <w:rsid w:val="007674D8"/>
    <w:rsid w:val="007A1635"/>
    <w:rsid w:val="00DD48B8"/>
    <w:rsid w:val="00E200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CA583-E608-49FA-A63D-120A75CD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48B8"/>
    <w:rPr>
      <w:rFonts w:ascii="Calibri" w:eastAsia="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jlqj4b">
    <w:name w:val="jlqj4b"/>
    <w:basedOn w:val="Policepardfaut"/>
    <w:rsid w:val="00DD48B8"/>
  </w:style>
  <w:style w:type="character" w:customStyle="1" w:styleId="markedcontent">
    <w:name w:val="markedcontent"/>
    <w:basedOn w:val="Policepardfaut"/>
    <w:rsid w:val="00DD48B8"/>
  </w:style>
  <w:style w:type="paragraph" w:styleId="En-tte">
    <w:name w:val="header"/>
    <w:basedOn w:val="Normal"/>
    <w:link w:val="En-tteCar"/>
    <w:unhideWhenUsed/>
    <w:rsid w:val="00305A1D"/>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rsid w:val="00305A1D"/>
  </w:style>
  <w:style w:type="table" w:styleId="Grilledutableau">
    <w:name w:val="Table Grid"/>
    <w:basedOn w:val="TableauNormal"/>
    <w:uiPriority w:val="59"/>
    <w:rsid w:val="00305A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0E10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105E"/>
    <w:rPr>
      <w:rFonts w:ascii="Tahoma" w:eastAsia="Calibri"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2401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 User11</dc:creator>
  <cp:lastModifiedBy>Jihane Barik</cp:lastModifiedBy>
  <cp:revision>3</cp:revision>
  <dcterms:created xsi:type="dcterms:W3CDTF">2022-04-05T09:53:00Z</dcterms:created>
  <dcterms:modified xsi:type="dcterms:W3CDTF">2022-04-05T09:53:00Z</dcterms:modified>
</cp:coreProperties>
</file>