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-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2"/>
        <w:gridCol w:w="1368"/>
        <w:gridCol w:w="4312"/>
      </w:tblGrid>
      <w:tr w:rsidR="0053415D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5D" w:rsidRDefault="00E72536">
            <w:pPr>
              <w:spacing w:after="0" w:line="240" w:lineRule="auto"/>
              <w:ind w:left="-120"/>
              <w:jc w:val="center"/>
            </w:pPr>
            <w:bookmarkStart w:id="0" w:name="_GoBack"/>
            <w:bookmarkEnd w:id="0"/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fr-FR"/>
              </w:rPr>
              <w:t>ROYAUME DU MAROC</w:t>
            </w:r>
            <w:r>
              <w:rPr>
                <w:rFonts w:ascii="Tw Cen MT" w:eastAsia="Times New Roman" w:hAnsi="Tw Cen MT" w:cs="Times New Roman"/>
                <w:sz w:val="20"/>
                <w:szCs w:val="20"/>
                <w:lang w:eastAsia="fr-FR"/>
              </w:rPr>
              <w:t> </w:t>
            </w:r>
          </w:p>
          <w:p w:rsidR="0053415D" w:rsidRDefault="00E72536">
            <w:pPr>
              <w:spacing w:after="0" w:line="240" w:lineRule="auto"/>
              <w:ind w:left="-120"/>
              <w:jc w:val="center"/>
            </w:pPr>
            <w:r>
              <w:rPr>
                <w:rFonts w:ascii="Tw Cen MT" w:eastAsia="Times New Roman" w:hAnsi="Tw Cen MT" w:cs="Times New Roman"/>
                <w:sz w:val="4"/>
                <w:szCs w:val="4"/>
                <w:lang w:eastAsia="fr-FR"/>
              </w:rPr>
              <w:t> </w:t>
            </w:r>
          </w:p>
          <w:p w:rsidR="0053415D" w:rsidRDefault="00E72536">
            <w:pPr>
              <w:spacing w:after="0" w:line="240" w:lineRule="auto"/>
              <w:ind w:left="-120"/>
              <w:jc w:val="center"/>
            </w:pPr>
            <w:r>
              <w:rPr>
                <w:rFonts w:ascii="Tw Cen MT" w:eastAsia="Times New Roman" w:hAnsi="Tw Cen MT" w:cs="Times New Roman"/>
                <w:b/>
                <w:bCs/>
                <w:sz w:val="16"/>
                <w:szCs w:val="16"/>
                <w:lang w:eastAsia="fr-FR"/>
              </w:rPr>
              <w:t>MINISTÈRE DE L’AGRICULTURE, DE LA PÊCHE MARITIME,</w:t>
            </w:r>
            <w:r>
              <w:rPr>
                <w:rFonts w:ascii="Tw Cen MT" w:eastAsia="Times New Roman" w:hAnsi="Tw Cen MT" w:cs="Times New Roman"/>
                <w:sz w:val="16"/>
                <w:szCs w:val="16"/>
                <w:lang w:eastAsia="fr-FR"/>
              </w:rPr>
              <w:t> </w:t>
            </w:r>
            <w:r>
              <w:rPr>
                <w:rFonts w:ascii="Tw Cen MT" w:eastAsia="Times New Roman" w:hAnsi="Tw Cen MT" w:cs="Times New Roman"/>
                <w:sz w:val="16"/>
                <w:szCs w:val="16"/>
                <w:lang w:eastAsia="fr-FR"/>
              </w:rPr>
              <w:br/>
            </w:r>
            <w:r>
              <w:rPr>
                <w:rFonts w:ascii="Tw Cen MT" w:eastAsia="Times New Roman" w:hAnsi="Tw Cen MT" w:cs="Times New Roman"/>
                <w:b/>
                <w:bCs/>
                <w:sz w:val="16"/>
                <w:szCs w:val="16"/>
                <w:lang w:eastAsia="fr-FR"/>
              </w:rPr>
              <w:t>DU DÉVELOPPEMENT RURAL ET DES EAUX ET FORÊTS</w:t>
            </w:r>
            <w:r>
              <w:rPr>
                <w:rFonts w:ascii="Tw Cen MT" w:eastAsia="Times New Roman" w:hAnsi="Tw Cen MT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5D" w:rsidRDefault="00E7253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695328" cy="685800"/>
                  <wp:effectExtent l="0" t="0" r="9522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5D" w:rsidRDefault="00E72536">
            <w:pPr>
              <w:spacing w:after="0" w:line="240" w:lineRule="auto"/>
              <w:ind w:left="90"/>
              <w:jc w:val="center"/>
            </w:pPr>
            <w:r>
              <w:rPr>
                <w:rFonts w:ascii="Times New Roman" w:eastAsia="Times New Roman" w:hAnsi="Times New Roman" w:cs="arabswell_1"/>
                <w:b/>
                <w:bCs/>
                <w:rtl/>
                <w:lang w:eastAsia="fr-FR"/>
              </w:rPr>
              <w:t>المملكة المغربية</w:t>
            </w:r>
            <w:r>
              <w:rPr>
                <w:rFonts w:ascii="Times New Roman" w:eastAsia="Times New Roman" w:hAnsi="Times New Roman" w:cs="arabswell_1"/>
                <w:lang w:eastAsia="fr-FR"/>
              </w:rPr>
              <w:t> </w:t>
            </w:r>
          </w:p>
          <w:p w:rsidR="0053415D" w:rsidRDefault="00E72536">
            <w:pPr>
              <w:spacing w:after="0" w:line="240" w:lineRule="auto"/>
              <w:ind w:left="90"/>
              <w:jc w:val="center"/>
            </w:pPr>
            <w:r>
              <w:rPr>
                <w:rFonts w:ascii="Times New Roman" w:eastAsia="Times New Roman" w:hAnsi="Times New Roman" w:cs="arabswell_1"/>
                <w:sz w:val="18"/>
                <w:szCs w:val="18"/>
                <w:rtl/>
                <w:lang w:eastAsia="fr-FR"/>
              </w:rPr>
              <w:t>وزارة الفلاحــــــــــة والصيد البحــــــري</w:t>
            </w:r>
            <w:r>
              <w:rPr>
                <w:rFonts w:ascii="Times New Roman" w:eastAsia="Times New Roman" w:hAnsi="Times New Roman" w:cs="arabswell_1"/>
                <w:sz w:val="18"/>
                <w:szCs w:val="18"/>
                <w:lang w:eastAsia="fr-FR"/>
              </w:rPr>
              <w:t> </w:t>
            </w:r>
          </w:p>
          <w:p w:rsidR="0053415D" w:rsidRDefault="00E72536">
            <w:pPr>
              <w:spacing w:after="0" w:line="240" w:lineRule="auto"/>
              <w:ind w:left="90"/>
              <w:jc w:val="center"/>
            </w:pPr>
            <w:r>
              <w:rPr>
                <w:rFonts w:ascii="Times New Roman" w:eastAsia="Times New Roman" w:hAnsi="Times New Roman" w:cs="arabswell_1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 w:cs="arabswell_1"/>
                <w:sz w:val="18"/>
                <w:szCs w:val="18"/>
                <w:rtl/>
                <w:lang w:eastAsia="fr-FR"/>
              </w:rPr>
              <w:t>والتنـــــــــــــــــــــــــمية القــــــــــــــــــرويــة والميــــــــــــــــاه والغـــــــــــــابات</w:t>
            </w:r>
            <w:r>
              <w:rPr>
                <w:rFonts w:ascii="Times New Roman" w:eastAsia="Times New Roman" w:hAnsi="Times New Roman" w:cs="arabswell_1"/>
                <w:sz w:val="18"/>
                <w:szCs w:val="18"/>
                <w:lang w:eastAsia="fr-FR"/>
              </w:rPr>
              <w:t> </w:t>
            </w:r>
          </w:p>
        </w:tc>
      </w:tr>
    </w:tbl>
    <w:p w:rsidR="0053415D" w:rsidRDefault="00E72536">
      <w:pPr>
        <w:spacing w:after="0" w:line="240" w:lineRule="auto"/>
        <w:jc w:val="center"/>
      </w:pPr>
      <w:r>
        <w:rPr>
          <w:rFonts w:ascii="Segoe UI" w:eastAsia="Times New Roman" w:hAnsi="Segoe UI" w:cs="arabswell_1"/>
          <w:sz w:val="18"/>
          <w:szCs w:val="18"/>
          <w:rtl/>
          <w:lang w:eastAsia="fr-FR"/>
        </w:rPr>
        <w:t>المديرية الجهوية للفلاحة لجهة الشرق</w:t>
      </w:r>
      <w:r>
        <w:rPr>
          <w:rFonts w:ascii="Segoe UI" w:eastAsia="Times New Roman" w:hAnsi="Segoe UI" w:cs="arabswell_1"/>
          <w:sz w:val="18"/>
          <w:szCs w:val="18"/>
          <w:lang w:eastAsia="fr-FR"/>
        </w:rPr>
        <w:t> </w:t>
      </w:r>
    </w:p>
    <w:p w:rsidR="0053415D" w:rsidRDefault="00E72536">
      <w:pPr>
        <w:spacing w:after="0" w:line="240" w:lineRule="auto"/>
        <w:jc w:val="center"/>
      </w:pPr>
      <w:r>
        <w:rPr>
          <w:rFonts w:ascii="Tw Cen MT" w:eastAsia="Times New Roman" w:hAnsi="Tw Cen MT" w:cs="Segoe UI"/>
          <w:b/>
          <w:bCs/>
          <w:sz w:val="16"/>
          <w:szCs w:val="16"/>
          <w:lang w:eastAsia="fr-FR"/>
        </w:rPr>
        <w:t>DIRECTION REGIONALE DE L’AGRICULTURE DE L’ORIENTAL</w:t>
      </w:r>
      <w:r>
        <w:rPr>
          <w:rFonts w:ascii="Tw Cen MT" w:eastAsia="Times New Roman" w:hAnsi="Tw Cen MT" w:cs="Segoe UI"/>
          <w:sz w:val="16"/>
          <w:szCs w:val="16"/>
          <w:lang w:eastAsia="fr-FR"/>
        </w:rPr>
        <w:t> </w:t>
      </w:r>
    </w:p>
    <w:p w:rsidR="0053415D" w:rsidRDefault="00E72536">
      <w:pPr>
        <w:bidi/>
        <w:spacing w:after="0" w:line="240" w:lineRule="auto"/>
        <w:ind w:left="-570"/>
        <w:jc w:val="center"/>
      </w:pPr>
      <w:r>
        <w:rPr>
          <w:rFonts w:ascii="Poor Richard" w:eastAsia="Times New Roman" w:hAnsi="Poor Richard" w:cs="Segoe UI"/>
          <w:color w:val="000000"/>
          <w:sz w:val="28"/>
          <w:szCs w:val="28"/>
          <w:rtl/>
          <w:lang w:eastAsia="fr-FR"/>
        </w:rPr>
        <w:t> </w:t>
      </w:r>
    </w:p>
    <w:p w:rsidR="0053415D" w:rsidRDefault="00E72536">
      <w:pPr>
        <w:bidi/>
        <w:spacing w:after="0" w:line="240" w:lineRule="auto"/>
        <w:ind w:left="-570"/>
        <w:jc w:val="center"/>
      </w:pPr>
      <w:r>
        <w:rPr>
          <w:rFonts w:ascii="Times New Roman" w:eastAsia="Times New Roman" w:hAnsi="Times New Roman" w:cs="Times New Roman"/>
          <w:b/>
          <w:bCs/>
          <w:color w:val="C45911"/>
          <w:sz w:val="28"/>
          <w:szCs w:val="28"/>
          <w:u w:val="single"/>
          <w:shd w:val="clear" w:color="auto" w:fill="FDFDFD"/>
          <w:rtl/>
          <w:lang w:eastAsia="fr-FR"/>
        </w:rPr>
        <w:t>بلاغ صحفي</w:t>
      </w:r>
      <w:r>
        <w:rPr>
          <w:rFonts w:ascii="Times New Roman" w:eastAsia="Times New Roman" w:hAnsi="Times New Roman" w:cs="Times New Roman"/>
          <w:color w:val="C45911"/>
          <w:sz w:val="28"/>
          <w:szCs w:val="28"/>
          <w:rtl/>
          <w:lang w:eastAsia="fr-FR"/>
        </w:rPr>
        <w:t> </w:t>
      </w:r>
    </w:p>
    <w:p w:rsidR="0053415D" w:rsidRDefault="00E72536">
      <w:pPr>
        <w:bidi/>
        <w:spacing w:after="0" w:line="240" w:lineRule="auto"/>
        <w:ind w:left="-570"/>
        <w:jc w:val="center"/>
      </w:pPr>
      <w:r>
        <w:rPr>
          <w:rFonts w:ascii="Poor Richard" w:eastAsia="Times New Roman" w:hAnsi="Poor Richard" w:cs="Segoe UI"/>
          <w:rtl/>
          <w:lang w:eastAsia="fr-FR"/>
        </w:rPr>
        <w:t> </w:t>
      </w:r>
    </w:p>
    <w:p w:rsidR="0053415D" w:rsidRDefault="00E72536">
      <w:pPr>
        <w:bidi/>
        <w:spacing w:after="0" w:line="240" w:lineRule="auto"/>
        <w:ind w:left="-570" w:right="-150"/>
        <w:jc w:val="center"/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shd w:val="clear" w:color="auto" w:fill="FDFDFD"/>
          <w:rtl/>
          <w:lang w:eastAsia="fr-FR"/>
        </w:rPr>
        <w:t xml:space="preserve">القافلة الوطنية حول التجميع الفلاحي من </w:t>
      </w: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shd w:val="clear" w:color="auto" w:fill="FDFDFD"/>
          <w:rtl/>
          <w:lang w:eastAsia="fr-FR"/>
        </w:rPr>
        <w:t>الجيل الجديد تحط رحالها بجهة الشرق</w:t>
      </w:r>
      <w:r>
        <w:rPr>
          <w:rFonts w:ascii="Times New Roman" w:eastAsia="Times New Roman" w:hAnsi="Times New Roman" w:cs="Times New Roman"/>
          <w:color w:val="1F3864"/>
          <w:sz w:val="28"/>
          <w:szCs w:val="28"/>
          <w:rtl/>
          <w:lang w:eastAsia="fr-FR"/>
        </w:rPr>
        <w:t> </w:t>
      </w:r>
    </w:p>
    <w:p w:rsidR="0053415D" w:rsidRDefault="00E72536">
      <w:pPr>
        <w:bidi/>
        <w:spacing w:after="0" w:line="240" w:lineRule="auto"/>
        <w:ind w:left="-570"/>
        <w:jc w:val="center"/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shd w:val="clear" w:color="auto" w:fill="FDFDFD"/>
          <w:rtl/>
          <w:lang w:eastAsia="fr-FR"/>
        </w:rPr>
        <w:t>القطب الفلاحي لبركان</w:t>
      </w:r>
      <w:r>
        <w:rPr>
          <w:rFonts w:ascii="Times New Roman" w:eastAsia="Times New Roman" w:hAnsi="Times New Roman" w:cs="Times New Roman"/>
          <w:color w:val="1F3864"/>
          <w:sz w:val="28"/>
          <w:szCs w:val="28"/>
          <w:rtl/>
          <w:lang w:eastAsia="fr-FR"/>
        </w:rPr>
        <w:t> </w:t>
      </w:r>
    </w:p>
    <w:p w:rsidR="0053415D" w:rsidRDefault="0053415D">
      <w:pPr>
        <w:bidi/>
        <w:spacing w:after="0" w:line="240" w:lineRule="auto"/>
        <w:ind w:left="-570"/>
        <w:jc w:val="center"/>
        <w:rPr>
          <w:rFonts w:ascii="Segoe UI" w:eastAsia="Times New Roman" w:hAnsi="Segoe UI" w:cs="Segoe UI"/>
          <w:sz w:val="18"/>
          <w:szCs w:val="18"/>
          <w:lang w:eastAsia="fr-FR"/>
        </w:rPr>
      </w:pPr>
    </w:p>
    <w:p w:rsidR="0053415D" w:rsidRDefault="00E72536">
      <w:pPr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في اطار تنزيل محاور استراتيجية "الجيل الأخضر 2020-2030" الجديدة على المستوى الجهوي، ولا سيما "الجيل الجديد" من التجميع الفلاحي، فإن وكالة التنمية الفلاحية (</w:t>
      </w:r>
      <w:proofErr w:type="gramStart"/>
      <w:r>
        <w:rPr>
          <w:rFonts w:ascii="Arial" w:eastAsia="Times New Roman" w:hAnsi="Arial"/>
          <w:color w:val="000000"/>
          <w:sz w:val="28"/>
          <w:szCs w:val="28"/>
          <w:lang w:eastAsia="fr-FR"/>
        </w:rPr>
        <w:t>ADA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)  وبتعاون</w:t>
      </w:r>
      <w:proofErr w:type="gramEnd"/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 وثيق مع المديرية 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الجهوية للفلاحة بجهة الشرق ، نظمت لقاءا جهويا </w:t>
      </w:r>
      <w:r>
        <w:rPr>
          <w:rFonts w:ascii="Arial" w:eastAsia="Times New Roman" w:hAnsi="Arial"/>
          <w:b/>
          <w:bCs/>
          <w:color w:val="000000"/>
          <w:sz w:val="28"/>
          <w:szCs w:val="28"/>
          <w:rtl/>
          <w:lang w:eastAsia="fr-FR"/>
        </w:rPr>
        <w:t>يوم 04 مارس 2022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 بالقطب الفلاحي لبركان والذي يندرج في إطار القافلة الوطنية حول التجميع الفلاحي من الجيل الجديد. </w:t>
      </w:r>
    </w:p>
    <w:p w:rsidR="0053415D" w:rsidRDefault="0053415D">
      <w:pPr>
        <w:bidi/>
        <w:spacing w:after="0" w:line="240" w:lineRule="auto"/>
        <w:ind w:left="-570" w:right="-285"/>
        <w:jc w:val="both"/>
        <w:rPr>
          <w:rFonts w:ascii="Segoe UI" w:eastAsia="Times New Roman" w:hAnsi="Segoe UI" w:cs="Segoe UI"/>
          <w:sz w:val="18"/>
          <w:szCs w:val="18"/>
          <w:lang w:eastAsia="fr-FR"/>
        </w:rPr>
      </w:pPr>
    </w:p>
    <w:p w:rsidR="0053415D" w:rsidRDefault="00E72536">
      <w:pPr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 والهدف الرئيسي لهذا الحدث الفلاحي الهام، هو تحسيس الفاعلين الجهويين 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والمستثمرين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 من اجل تعزيز عم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لية إنشاء مشاريع التجميع الفلاحي من الجيل الجديد كنموذج ابتكاري لتنظيم الفلاحين حول خواص أو منظمات مهنية فلاحية. </w:t>
      </w:r>
    </w:p>
    <w:p w:rsidR="0053415D" w:rsidRDefault="00E72536">
      <w:pPr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 </w:t>
      </w:r>
    </w:p>
    <w:p w:rsidR="0053415D" w:rsidRDefault="00E72536">
      <w:pPr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ومن هذا المنطلق، فإن جهة الشرق، بما لديها من إمكانات فلاحية مهمة، قد اندمجت بالكامل في هذه الدينامية من خلال تنفيذ 7مشاريع لتجميع، 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لتنمية سلاسل الحوامض، الشمندر السكري والحليب. كما يجري حاليا العمل على إعداد 10 مشاريع جديدة للتجميع في </w:t>
      </w:r>
      <w:proofErr w:type="gramStart"/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اطار</w:t>
      </w:r>
      <w:proofErr w:type="gramEnd"/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 "الجيل الجديد" لفائدة 2060 فلاح وعلى مساحة 6100 هكتار. وستوطد هذه المشاريع منجزات مخطط المغرب الأخضر وتعزز عدد مشاريع التجميع. </w:t>
      </w:r>
    </w:p>
    <w:p w:rsidR="0053415D" w:rsidRDefault="0053415D">
      <w:pPr>
        <w:bidi/>
        <w:spacing w:after="0" w:line="240" w:lineRule="auto"/>
        <w:ind w:left="-570" w:right="-285"/>
        <w:jc w:val="both"/>
        <w:rPr>
          <w:rFonts w:ascii="Segoe UI" w:eastAsia="Times New Roman" w:hAnsi="Segoe UI" w:cs="Segoe UI"/>
          <w:sz w:val="18"/>
          <w:szCs w:val="18"/>
          <w:lang w:eastAsia="fr-FR"/>
        </w:rPr>
      </w:pPr>
    </w:p>
    <w:p w:rsidR="0053415D" w:rsidRDefault="00E72536">
      <w:pPr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كما يشكل هذا اللقا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ء الجهوي، فرصة لتقييم وضعية التجميع الفلاحي وتقديم الإطار التنظيمي الجديد والنصين التطبيقين الجديدين للقانون رقم 04-12 للتجميع الفلاحي. ويوفر هذا الإطار تبسيطا مهما للمساطر مع مراجعة لشروط ومعايير الأهلية، فضلا عن إدماج نماذج وسلاسل جديدة للتجميع، ووضع نسب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 xml:space="preserve"> تفضيلية للإعانات الممنوحة لاقتناء معدات تربية الماشية على غرار تجهيزات الري الفلاحي والمعدات الفلاحية. </w:t>
      </w:r>
    </w:p>
    <w:p w:rsidR="0053415D" w:rsidRDefault="0053415D">
      <w:pPr>
        <w:bidi/>
        <w:spacing w:after="0" w:line="240" w:lineRule="auto"/>
        <w:ind w:left="-570" w:right="-285"/>
        <w:jc w:val="both"/>
        <w:rPr>
          <w:rFonts w:ascii="Segoe UI" w:eastAsia="Times New Roman" w:hAnsi="Segoe UI" w:cs="Segoe UI"/>
          <w:sz w:val="18"/>
          <w:szCs w:val="18"/>
          <w:lang w:eastAsia="fr-FR"/>
        </w:rPr>
      </w:pPr>
    </w:p>
    <w:p w:rsidR="0053415D" w:rsidRDefault="00E72536">
      <w:pPr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ويندرج هذا الجيل الجديد من مشاريع التجميع ضمن المحور الأول لاستراتيجية "الجيل الأخضر 2020-2030" المتعلق بإعطاء الاولوية للعنصر البشري، وذلك من خلال اع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تماد نماذج تنظيمية جديدة وتعاونيات فلاحية وتجميع فلاحي يجمع بين القيمة الاقتصادية والاجتماعية، كما يطمح إلى تشجيع مشاريع تجميع مبتكرة.</w:t>
      </w:r>
      <w:r>
        <w:rPr>
          <w:rFonts w:ascii="Arial" w:eastAsia="Times New Roman" w:hAnsi="Arial"/>
          <w:sz w:val="28"/>
          <w:szCs w:val="28"/>
          <w:rtl/>
          <w:lang w:eastAsia="fr-FR"/>
        </w:rPr>
        <w:t> 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يدخل تشجيع التجميع الفلاحي ضمن التدابير المتخذة لتطوير وتحديث الفلاحة الوطنية. وستلعب مشاريع التجميع الفلاحي من الجيل الج</w:t>
      </w: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ديد دور المحاور الجهوية والوطنية لتلقين التقنيات الجديدة للفلاحين. </w:t>
      </w:r>
    </w:p>
    <w:p w:rsidR="0053415D" w:rsidRDefault="0053415D">
      <w:pPr>
        <w:bidi/>
        <w:spacing w:after="0" w:line="240" w:lineRule="auto"/>
        <w:ind w:left="-570" w:right="-285"/>
        <w:jc w:val="both"/>
        <w:rPr>
          <w:rFonts w:ascii="Segoe UI" w:eastAsia="Times New Roman" w:hAnsi="Segoe UI" w:cs="Segoe UI"/>
          <w:sz w:val="18"/>
          <w:szCs w:val="18"/>
          <w:lang w:eastAsia="fr-FR"/>
        </w:rPr>
      </w:pPr>
    </w:p>
    <w:p w:rsidR="0053415D" w:rsidRDefault="00E72536">
      <w:pPr>
        <w:shd w:val="clear" w:color="auto" w:fill="FFFFFF"/>
        <w:bidi/>
        <w:spacing w:after="0" w:line="240" w:lineRule="auto"/>
        <w:ind w:left="-570" w:right="-285"/>
        <w:jc w:val="both"/>
      </w:pPr>
      <w:r>
        <w:rPr>
          <w:rFonts w:ascii="Arial" w:eastAsia="Times New Roman" w:hAnsi="Arial"/>
          <w:color w:val="000000"/>
          <w:sz w:val="28"/>
          <w:szCs w:val="28"/>
          <w:rtl/>
          <w:lang w:eastAsia="fr-FR"/>
        </w:rPr>
        <w:t>وحضر هذا الحدث أكثر من 80 مشاركا، من بينهم مجمعين ومستثمرين في القطاع الفلاحي والصناعات الغذائية ومهنيين وممثلي الغرفة الفلاحية لجهة الشرق، فضلا عن عدد من المسؤولين الجهويين. </w:t>
      </w:r>
    </w:p>
    <w:p w:rsidR="0053415D" w:rsidRDefault="0053415D"/>
    <w:sectPr w:rsidR="0053415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536" w:rsidRDefault="00E72536">
      <w:pPr>
        <w:spacing w:after="0" w:line="240" w:lineRule="auto"/>
      </w:pPr>
      <w:r>
        <w:separator/>
      </w:r>
    </w:p>
  </w:endnote>
  <w:endnote w:type="continuationSeparator" w:id="0">
    <w:p w:rsidR="00E72536" w:rsidRDefault="00E7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swell_1">
    <w:altName w:val="Courier New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536" w:rsidRDefault="00E725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2536" w:rsidRDefault="00E72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415D"/>
    <w:rsid w:val="0053415D"/>
    <w:rsid w:val="007D22C9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E062E-CEA2-44B4-8E28-DF21C26D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Barik</dc:creator>
  <dc:description/>
  <cp:lastModifiedBy>Jihane Barik</cp:lastModifiedBy>
  <cp:revision>2</cp:revision>
  <dcterms:created xsi:type="dcterms:W3CDTF">2022-04-05T11:12:00Z</dcterms:created>
  <dcterms:modified xsi:type="dcterms:W3CDTF">2022-04-05T11:12:00Z</dcterms:modified>
</cp:coreProperties>
</file>